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ascii="黑体" w:hAnsi="黑体"/>
        </w:rPr>
      </w:pPr>
      <w:bookmarkStart w:id="0" w:name="_Toc68024206"/>
      <w:r>
        <w:rPr>
          <w:rFonts w:hint="eastAsia" w:ascii="黑体" w:hAnsi="黑体"/>
        </w:rPr>
        <w:t>附件5</w:t>
      </w:r>
      <w:bookmarkEnd w:id="0"/>
    </w:p>
    <w:p>
      <w:pPr>
        <w:widowControl/>
        <w:ind w:firstLine="0" w:firstLineChars="0"/>
        <w:jc w:val="center"/>
        <w:rPr>
          <w:rFonts w:ascii="方正小标宋简体" w:eastAsia="方正小标宋简体"/>
          <w:spacing w:val="-4"/>
          <w:sz w:val="36"/>
          <w:szCs w:val="30"/>
        </w:rPr>
      </w:pPr>
      <w:r>
        <w:rPr>
          <w:rFonts w:hint="eastAsia" w:ascii="方正小标宋简体" w:eastAsia="方正小标宋简体"/>
          <w:spacing w:val="-4"/>
          <w:sz w:val="36"/>
          <w:szCs w:val="30"/>
        </w:rPr>
        <w:t>2020年临床试验阶段纳入突破性治疗通道的药物情况</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617"/>
        <w:gridCol w:w="4149"/>
        <w:gridCol w:w="3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blHeader/>
          <w:jc w:val="center"/>
        </w:trPr>
        <w:tc>
          <w:tcPr>
            <w:tcW w:w="809" w:type="dxa"/>
            <w:vAlign w:val="center"/>
          </w:tcPr>
          <w:p>
            <w:pPr>
              <w:widowControl/>
              <w:spacing w:line="240" w:lineRule="auto"/>
              <w:ind w:firstLine="0" w:firstLineChars="0"/>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序号</w:t>
            </w:r>
          </w:p>
        </w:tc>
        <w:tc>
          <w:tcPr>
            <w:tcW w:w="1559" w:type="dxa"/>
            <w:shd w:val="clear" w:color="auto" w:fill="auto"/>
            <w:vAlign w:val="center"/>
          </w:tcPr>
          <w:p>
            <w:pPr>
              <w:widowControl/>
              <w:spacing w:line="240" w:lineRule="auto"/>
              <w:ind w:firstLine="0" w:firstLineChars="0"/>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药品名称</w:t>
            </w:r>
          </w:p>
        </w:tc>
        <w:tc>
          <w:tcPr>
            <w:tcW w:w="4189" w:type="dxa"/>
            <w:shd w:val="clear" w:color="auto" w:fill="auto"/>
            <w:vAlign w:val="center"/>
          </w:tcPr>
          <w:p>
            <w:pPr>
              <w:widowControl/>
              <w:spacing w:line="240" w:lineRule="auto"/>
              <w:ind w:firstLine="0" w:firstLineChars="0"/>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纳入突破性治疗药物程序的原因</w:t>
            </w:r>
          </w:p>
        </w:tc>
        <w:tc>
          <w:tcPr>
            <w:tcW w:w="3082" w:type="dxa"/>
            <w:shd w:val="clear" w:color="auto" w:fill="auto"/>
            <w:vAlign w:val="center"/>
          </w:tcPr>
          <w:p>
            <w:pPr>
              <w:widowControl/>
              <w:spacing w:line="240" w:lineRule="auto"/>
              <w:ind w:firstLine="0" w:firstLineChars="0"/>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拟定适应症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809" w:type="dxa"/>
            <w:vAlign w:val="center"/>
          </w:tcPr>
          <w:p>
            <w:pPr>
              <w:widowControl/>
              <w:spacing w:line="240" w:lineRule="auto"/>
              <w:ind w:firstLine="0" w:firstLineChars="0"/>
              <w:jc w:val="center"/>
              <w:rPr>
                <w:color w:val="000000"/>
                <w:kern w:val="0"/>
                <w:sz w:val="24"/>
              </w:rPr>
            </w:pPr>
            <w:r>
              <w:rPr>
                <w:rFonts w:hint="eastAsia"/>
                <w:color w:val="000000"/>
                <w:kern w:val="0"/>
                <w:sz w:val="24"/>
              </w:rPr>
              <w:t>1</w:t>
            </w:r>
          </w:p>
        </w:tc>
        <w:tc>
          <w:tcPr>
            <w:tcW w:w="1559" w:type="dxa"/>
            <w:shd w:val="clear" w:color="auto" w:fill="auto"/>
            <w:vAlign w:val="center"/>
          </w:tcPr>
          <w:p>
            <w:pPr>
              <w:widowControl/>
              <w:spacing w:line="240" w:lineRule="auto"/>
              <w:ind w:firstLine="0" w:firstLineChars="0"/>
              <w:jc w:val="center"/>
              <w:rPr>
                <w:color w:val="000000"/>
                <w:kern w:val="0"/>
                <w:sz w:val="24"/>
              </w:rPr>
            </w:pPr>
            <w:r>
              <w:rPr>
                <w:rFonts w:hint="eastAsia"/>
                <w:color w:val="000000"/>
                <w:kern w:val="0"/>
                <w:sz w:val="24"/>
              </w:rPr>
              <w:t>YY-20394片</w:t>
            </w:r>
          </w:p>
        </w:tc>
        <w:tc>
          <w:tcPr>
            <w:tcW w:w="4189" w:type="dxa"/>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1.中国目前尚没有针对该适应症的产品获批上市，也没有PI3K抑制剂上市。</w:t>
            </w:r>
            <w:r>
              <w:rPr>
                <w:rFonts w:hint="eastAsia"/>
                <w:color w:val="000000"/>
                <w:kern w:val="0"/>
                <w:sz w:val="24"/>
              </w:rPr>
              <w:br w:type="textWrapping"/>
            </w:r>
            <w:r>
              <w:rPr>
                <w:rFonts w:hint="eastAsia"/>
                <w:color w:val="000000"/>
                <w:kern w:val="0"/>
                <w:sz w:val="24"/>
              </w:rPr>
              <w:t>2.本品针对拟申报适应症人群已经获得超过50例受试者的有效性数据，超过20例受试者治疗时长超过6个月，有效性结果远优于已在境外获批相同适应症的同类产品。</w:t>
            </w:r>
          </w:p>
        </w:tc>
        <w:tc>
          <w:tcPr>
            <w:tcW w:w="3082" w:type="dxa"/>
            <w:shd w:val="clear" w:color="auto" w:fill="auto"/>
            <w:vAlign w:val="center"/>
          </w:tcPr>
          <w:p>
            <w:pPr>
              <w:pStyle w:val="10"/>
              <w:widowControl/>
              <w:spacing w:line="240" w:lineRule="auto"/>
              <w:ind w:firstLine="0" w:firstLineChars="0"/>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用于既往接受至少二线治疗后复发难治的FL患者。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809" w:type="dxa"/>
            <w:vAlign w:val="center"/>
          </w:tcPr>
          <w:p>
            <w:pPr>
              <w:widowControl/>
              <w:spacing w:line="240" w:lineRule="auto"/>
              <w:ind w:firstLine="0" w:firstLineChars="0"/>
              <w:jc w:val="center"/>
              <w:rPr>
                <w:color w:val="000000"/>
                <w:kern w:val="0"/>
                <w:sz w:val="24"/>
              </w:rPr>
            </w:pPr>
            <w:r>
              <w:rPr>
                <w:rFonts w:hint="eastAsia"/>
                <w:color w:val="000000"/>
                <w:kern w:val="0"/>
                <w:sz w:val="24"/>
              </w:rPr>
              <w:t>2</w:t>
            </w:r>
          </w:p>
        </w:tc>
        <w:tc>
          <w:tcPr>
            <w:tcW w:w="1559" w:type="dxa"/>
            <w:shd w:val="clear" w:color="auto" w:fill="auto"/>
            <w:vAlign w:val="center"/>
          </w:tcPr>
          <w:p>
            <w:pPr>
              <w:widowControl/>
              <w:spacing w:line="240" w:lineRule="auto"/>
              <w:ind w:firstLine="0" w:firstLineChars="0"/>
              <w:jc w:val="center"/>
              <w:rPr>
                <w:color w:val="000000"/>
                <w:kern w:val="0"/>
                <w:sz w:val="24"/>
              </w:rPr>
            </w:pPr>
            <w:r>
              <w:rPr>
                <w:rFonts w:hint="eastAsia"/>
                <w:color w:val="000000"/>
                <w:kern w:val="0"/>
                <w:sz w:val="24"/>
              </w:rPr>
              <w:t>注射用普那布林浓溶液</w:t>
            </w:r>
          </w:p>
        </w:tc>
        <w:tc>
          <w:tcPr>
            <w:tcW w:w="4189" w:type="dxa"/>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1.本品为治疗拟申报适应症的全新机制产品。</w:t>
            </w:r>
            <w:r>
              <w:rPr>
                <w:rFonts w:hint="eastAsia"/>
                <w:color w:val="000000"/>
                <w:kern w:val="0"/>
                <w:sz w:val="24"/>
              </w:rPr>
              <w:br w:type="textWrapping"/>
            </w:r>
            <w:r>
              <w:rPr>
                <w:rFonts w:hint="eastAsia"/>
                <w:color w:val="000000"/>
                <w:kern w:val="0"/>
                <w:sz w:val="24"/>
              </w:rPr>
              <w:t>2.</w:t>
            </w:r>
            <w:r>
              <w:rPr>
                <w:rFonts w:hint="eastAsia" w:ascii="宋体" w:hAnsi="宋体" w:eastAsia="宋体" w:cs="宋体"/>
                <w:color w:val="000000"/>
                <w:kern w:val="0"/>
                <w:sz w:val="24"/>
              </w:rPr>
              <w:t>Ⅲ</w:t>
            </w:r>
            <w:r>
              <w:rPr>
                <w:color w:val="000000"/>
                <w:kern w:val="0"/>
                <w:sz w:val="24"/>
              </w:rPr>
              <w:t>期研究数据中期分析结果获得显著优于对照</w:t>
            </w:r>
            <w:r>
              <w:rPr>
                <w:rFonts w:hint="eastAsia"/>
                <w:color w:val="000000"/>
                <w:kern w:val="0"/>
                <w:sz w:val="24"/>
              </w:rPr>
              <w:t>组的结果。</w:t>
            </w:r>
            <w:r>
              <w:rPr>
                <w:rFonts w:hint="eastAsia"/>
                <w:color w:val="000000"/>
                <w:kern w:val="0"/>
                <w:sz w:val="24"/>
              </w:rPr>
              <w:br w:type="textWrapping"/>
            </w:r>
            <w:r>
              <w:rPr>
                <w:rFonts w:hint="eastAsia"/>
                <w:color w:val="000000"/>
                <w:kern w:val="0"/>
                <w:sz w:val="24"/>
              </w:rPr>
              <w:t>3.本品相比于传统的治疗药物，有效降低骨痛的发生率，具有安全性优势。</w:t>
            </w:r>
          </w:p>
        </w:tc>
        <w:tc>
          <w:tcPr>
            <w:tcW w:w="3082" w:type="dxa"/>
            <w:shd w:val="clear" w:color="auto" w:fill="auto"/>
            <w:vAlign w:val="center"/>
          </w:tcPr>
          <w:p>
            <w:pPr>
              <w:pStyle w:val="10"/>
              <w:widowControl/>
              <w:spacing w:line="240" w:lineRule="auto"/>
              <w:ind w:firstLine="0" w:firstLineChars="0"/>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与粒细胞集落刺激因子（G-CSF）联用，用于非髓性恶性肿瘤患者中骨髓抑制性抗癌药物引起的重度中性粒细胞减少症（CIN）。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809" w:type="dxa"/>
            <w:vAlign w:val="center"/>
          </w:tcPr>
          <w:p>
            <w:pPr>
              <w:widowControl/>
              <w:spacing w:line="240" w:lineRule="auto"/>
              <w:ind w:firstLine="0" w:firstLineChars="0"/>
              <w:jc w:val="center"/>
              <w:rPr>
                <w:color w:val="000000"/>
                <w:kern w:val="0"/>
                <w:sz w:val="24"/>
              </w:rPr>
            </w:pPr>
            <w:r>
              <w:rPr>
                <w:rFonts w:hint="eastAsia"/>
                <w:color w:val="000000"/>
                <w:kern w:val="0"/>
                <w:sz w:val="24"/>
              </w:rPr>
              <w:t>3</w:t>
            </w:r>
          </w:p>
        </w:tc>
        <w:tc>
          <w:tcPr>
            <w:tcW w:w="1559" w:type="dxa"/>
            <w:shd w:val="clear" w:color="auto" w:fill="auto"/>
            <w:vAlign w:val="center"/>
          </w:tcPr>
          <w:p>
            <w:pPr>
              <w:widowControl/>
              <w:spacing w:line="240" w:lineRule="auto"/>
              <w:ind w:firstLine="0" w:firstLineChars="0"/>
              <w:jc w:val="center"/>
              <w:rPr>
                <w:color w:val="000000"/>
                <w:kern w:val="0"/>
                <w:sz w:val="24"/>
              </w:rPr>
            </w:pPr>
            <w:r>
              <w:rPr>
                <w:rFonts w:hint="eastAsia"/>
                <w:color w:val="000000"/>
                <w:kern w:val="0"/>
                <w:sz w:val="24"/>
              </w:rPr>
              <w:t>TAK-788</w:t>
            </w:r>
          </w:p>
          <w:p>
            <w:pPr>
              <w:widowControl/>
              <w:spacing w:line="240" w:lineRule="auto"/>
              <w:ind w:firstLine="0" w:firstLineChars="0"/>
              <w:jc w:val="center"/>
              <w:rPr>
                <w:color w:val="000000"/>
                <w:kern w:val="0"/>
                <w:sz w:val="24"/>
              </w:rPr>
            </w:pPr>
            <w:r>
              <w:rPr>
                <w:rFonts w:hint="eastAsia"/>
                <w:color w:val="000000"/>
                <w:kern w:val="0"/>
                <w:sz w:val="24"/>
              </w:rPr>
              <w:t>胶囊</w:t>
            </w:r>
          </w:p>
        </w:tc>
        <w:tc>
          <w:tcPr>
            <w:tcW w:w="4189" w:type="dxa"/>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1.本品拟定适应症为EGFR第20外显子插入突变的晚期非小细胞肺癌，无有效治疗药物获批。</w:t>
            </w:r>
          </w:p>
          <w:p>
            <w:pPr>
              <w:widowControl/>
              <w:spacing w:line="240" w:lineRule="auto"/>
              <w:ind w:firstLine="0" w:firstLineChars="0"/>
              <w:rPr>
                <w:color w:val="000000"/>
                <w:kern w:val="0"/>
                <w:sz w:val="24"/>
              </w:rPr>
            </w:pPr>
            <w:r>
              <w:rPr>
                <w:rFonts w:hint="eastAsia"/>
                <w:color w:val="000000"/>
                <w:kern w:val="0"/>
                <w:sz w:val="24"/>
              </w:rPr>
              <w:t>2.本品前期有效性数据较历史数据显著提高，复发难治患者中具有较高的客观缓解率和持久的缓解持续时间。</w:t>
            </w:r>
          </w:p>
        </w:tc>
        <w:tc>
          <w:tcPr>
            <w:tcW w:w="3082" w:type="dxa"/>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用于治疗既往至少接受过一次全身化疗的携带表皮生长因子受体（EGFR）20号外显子插入突变的局部晚期或转移性非小细胞肺癌（NSCLC）患者。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809" w:type="dxa"/>
            <w:vAlign w:val="center"/>
          </w:tcPr>
          <w:p>
            <w:pPr>
              <w:widowControl/>
              <w:spacing w:line="240" w:lineRule="auto"/>
              <w:ind w:firstLine="0" w:firstLineChars="0"/>
              <w:jc w:val="center"/>
              <w:rPr>
                <w:color w:val="000000"/>
                <w:kern w:val="0"/>
                <w:sz w:val="24"/>
              </w:rPr>
            </w:pPr>
            <w:r>
              <w:rPr>
                <w:rFonts w:hint="eastAsia"/>
                <w:color w:val="000000"/>
                <w:kern w:val="0"/>
                <w:sz w:val="24"/>
              </w:rPr>
              <w:t>4</w:t>
            </w:r>
          </w:p>
        </w:tc>
        <w:tc>
          <w:tcPr>
            <w:tcW w:w="1559" w:type="dxa"/>
            <w:shd w:val="clear" w:color="auto" w:fill="auto"/>
            <w:vAlign w:val="center"/>
          </w:tcPr>
          <w:p>
            <w:pPr>
              <w:widowControl/>
              <w:spacing w:line="240" w:lineRule="auto"/>
              <w:ind w:firstLine="0" w:firstLineChars="0"/>
              <w:jc w:val="center"/>
              <w:rPr>
                <w:color w:val="000000"/>
                <w:kern w:val="0"/>
                <w:sz w:val="24"/>
              </w:rPr>
            </w:pPr>
            <w:r>
              <w:rPr>
                <w:rFonts w:hint="eastAsia"/>
                <w:color w:val="000000"/>
                <w:kern w:val="0"/>
                <w:sz w:val="24"/>
              </w:rPr>
              <w:t>JNJ-61186372注射液</w:t>
            </w:r>
          </w:p>
        </w:tc>
        <w:tc>
          <w:tcPr>
            <w:tcW w:w="4189" w:type="dxa"/>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1.本品拟定适应症为EGFR第20外显子插入突变的晚期非小细胞肺癌，无有效治疗药物获批。</w:t>
            </w:r>
          </w:p>
          <w:p>
            <w:pPr>
              <w:widowControl/>
              <w:spacing w:line="240" w:lineRule="auto"/>
              <w:ind w:firstLine="0" w:firstLineChars="0"/>
              <w:rPr>
                <w:color w:val="000000"/>
                <w:kern w:val="0"/>
                <w:sz w:val="24"/>
              </w:rPr>
            </w:pPr>
            <w:r>
              <w:rPr>
                <w:rFonts w:hint="eastAsia"/>
                <w:color w:val="000000"/>
                <w:kern w:val="0"/>
                <w:sz w:val="24"/>
              </w:rPr>
              <w:t>2.本品前期有效性数据较历史数据显著提高，复发难治患者中具有较高的客观缓解率和持久的缓解持续时间，本品基于相同数据已于境外监管机构获得BTD认定。</w:t>
            </w:r>
          </w:p>
        </w:tc>
        <w:tc>
          <w:tcPr>
            <w:tcW w:w="3082" w:type="dxa"/>
            <w:shd w:val="clear" w:color="auto" w:fill="auto"/>
            <w:vAlign w:val="center"/>
          </w:tcPr>
          <w:p>
            <w:pPr>
              <w:widowControl/>
              <w:spacing w:line="240" w:lineRule="auto"/>
              <w:ind w:firstLine="0" w:firstLineChars="0"/>
              <w:rPr>
                <w:color w:val="000000"/>
                <w:kern w:val="0"/>
                <w:sz w:val="24"/>
              </w:rPr>
            </w:pPr>
            <w:r>
              <w:rPr>
                <w:rFonts w:hint="eastAsia"/>
                <w:color w:val="000000"/>
                <w:sz w:val="24"/>
              </w:rPr>
              <w:t>用于</w:t>
            </w:r>
            <w:r>
              <w:rPr>
                <w:rFonts w:hint="eastAsia"/>
                <w:color w:val="000000"/>
                <w:kern w:val="0"/>
                <w:sz w:val="24"/>
              </w:rPr>
              <w:t>治疗含铂双药化疗期间或之后进展，或对含铂化疗不耐受的EGFR20号外显子插入突变的转移性或手术不可切除的NSCLC患者。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09" w:type="dxa"/>
            <w:vAlign w:val="center"/>
          </w:tcPr>
          <w:p>
            <w:pPr>
              <w:widowControl/>
              <w:spacing w:line="240" w:lineRule="auto"/>
              <w:ind w:firstLine="0" w:firstLineChars="0"/>
              <w:jc w:val="center"/>
              <w:rPr>
                <w:color w:val="000000"/>
                <w:kern w:val="0"/>
                <w:sz w:val="24"/>
              </w:rPr>
            </w:pPr>
            <w:r>
              <w:rPr>
                <w:rFonts w:hint="eastAsia"/>
                <w:color w:val="000000"/>
                <w:kern w:val="0"/>
                <w:sz w:val="24"/>
              </w:rPr>
              <w:t>5</w:t>
            </w:r>
          </w:p>
        </w:tc>
        <w:tc>
          <w:tcPr>
            <w:tcW w:w="1559" w:type="dxa"/>
            <w:shd w:val="clear" w:color="auto" w:fill="auto"/>
            <w:vAlign w:val="center"/>
          </w:tcPr>
          <w:p>
            <w:pPr>
              <w:widowControl/>
              <w:spacing w:line="240" w:lineRule="auto"/>
              <w:ind w:firstLine="0" w:firstLineChars="0"/>
              <w:jc w:val="center"/>
              <w:rPr>
                <w:color w:val="000000"/>
                <w:kern w:val="0"/>
                <w:sz w:val="24"/>
              </w:rPr>
            </w:pPr>
            <w:r>
              <w:rPr>
                <w:rFonts w:hint="eastAsia"/>
                <w:color w:val="000000"/>
                <w:kern w:val="0"/>
                <w:sz w:val="24"/>
              </w:rPr>
              <w:t>AK104</w:t>
            </w:r>
          </w:p>
          <w:p>
            <w:pPr>
              <w:widowControl/>
              <w:spacing w:line="240" w:lineRule="auto"/>
              <w:ind w:firstLine="0" w:firstLineChars="0"/>
              <w:jc w:val="center"/>
              <w:rPr>
                <w:color w:val="000000"/>
                <w:kern w:val="0"/>
                <w:sz w:val="24"/>
              </w:rPr>
            </w:pPr>
            <w:r>
              <w:rPr>
                <w:rFonts w:hint="eastAsia"/>
                <w:color w:val="000000"/>
                <w:kern w:val="0"/>
                <w:sz w:val="24"/>
              </w:rPr>
              <w:t>注射液</w:t>
            </w:r>
          </w:p>
        </w:tc>
        <w:tc>
          <w:tcPr>
            <w:tcW w:w="4189" w:type="dxa"/>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用于治疗末线宫颈癌，本品现有有效性数据体现出突出的治疗效果。</w:t>
            </w:r>
          </w:p>
        </w:tc>
        <w:tc>
          <w:tcPr>
            <w:tcW w:w="3082" w:type="dxa"/>
            <w:shd w:val="clear" w:color="auto" w:fill="auto"/>
            <w:vAlign w:val="center"/>
          </w:tcPr>
          <w:p>
            <w:pPr>
              <w:widowControl/>
              <w:spacing w:line="240" w:lineRule="auto"/>
              <w:ind w:firstLine="0" w:firstLineChars="0"/>
              <w:rPr>
                <w:color w:val="000000"/>
                <w:kern w:val="0"/>
                <w:sz w:val="24"/>
              </w:rPr>
            </w:pPr>
            <w:r>
              <w:rPr>
                <w:rFonts w:hint="eastAsia"/>
                <w:color w:val="000000"/>
                <w:sz w:val="24"/>
              </w:rPr>
              <w:t>用于</w:t>
            </w:r>
            <w:r>
              <w:rPr>
                <w:rFonts w:hint="eastAsia"/>
                <w:color w:val="000000"/>
                <w:kern w:val="0"/>
                <w:sz w:val="24"/>
              </w:rPr>
              <w:t>既往含铂治疗期间或治疗后疾病进展的复发或转移性宫颈鳞癌（含腺鳞癌）。</w:t>
            </w:r>
          </w:p>
          <w:p>
            <w:pPr>
              <w:widowControl/>
              <w:spacing w:line="240" w:lineRule="auto"/>
              <w:ind w:firstLine="0" w:firstLineChars="0"/>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809" w:type="dxa"/>
            <w:vAlign w:val="center"/>
          </w:tcPr>
          <w:p>
            <w:pPr>
              <w:widowControl/>
              <w:spacing w:line="240" w:lineRule="auto"/>
              <w:ind w:firstLine="0" w:firstLineChars="0"/>
              <w:jc w:val="center"/>
              <w:rPr>
                <w:color w:val="000000"/>
                <w:kern w:val="0"/>
                <w:sz w:val="24"/>
              </w:rPr>
            </w:pPr>
            <w:r>
              <w:rPr>
                <w:rFonts w:hint="eastAsia"/>
                <w:color w:val="000000"/>
                <w:kern w:val="0"/>
                <w:sz w:val="24"/>
              </w:rPr>
              <w:t>6</w:t>
            </w:r>
          </w:p>
        </w:tc>
        <w:tc>
          <w:tcPr>
            <w:tcW w:w="1559" w:type="dxa"/>
            <w:shd w:val="clear" w:color="auto" w:fill="auto"/>
            <w:vAlign w:val="center"/>
          </w:tcPr>
          <w:p>
            <w:pPr>
              <w:widowControl/>
              <w:spacing w:line="240" w:lineRule="auto"/>
              <w:ind w:firstLine="0" w:firstLineChars="0"/>
              <w:jc w:val="center"/>
              <w:rPr>
                <w:color w:val="000000"/>
                <w:kern w:val="0"/>
                <w:sz w:val="24"/>
              </w:rPr>
            </w:pPr>
            <w:r>
              <w:rPr>
                <w:rFonts w:hint="eastAsia"/>
                <w:color w:val="000000"/>
                <w:kern w:val="0"/>
                <w:sz w:val="24"/>
              </w:rPr>
              <w:t>苹果酸法米替尼胶囊</w:t>
            </w:r>
          </w:p>
        </w:tc>
        <w:tc>
          <w:tcPr>
            <w:tcW w:w="4189" w:type="dxa"/>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用于治疗末线宫颈癌，本品联合治疗现有有效性数据体现出突出的治疗效果。</w:t>
            </w:r>
          </w:p>
        </w:tc>
        <w:tc>
          <w:tcPr>
            <w:tcW w:w="3082" w:type="dxa"/>
            <w:shd w:val="clear" w:color="auto" w:fill="auto"/>
            <w:vAlign w:val="center"/>
          </w:tcPr>
          <w:p>
            <w:pPr>
              <w:widowControl/>
              <w:spacing w:line="240" w:lineRule="auto"/>
              <w:ind w:firstLine="0" w:firstLineChars="0"/>
              <w:rPr>
                <w:color w:val="000000"/>
                <w:kern w:val="0"/>
                <w:sz w:val="24"/>
              </w:rPr>
            </w:pPr>
            <w:r>
              <w:rPr>
                <w:rFonts w:hint="eastAsia"/>
                <w:color w:val="000000"/>
                <w:sz w:val="24"/>
              </w:rPr>
              <w:t>用于</w:t>
            </w:r>
            <w:r>
              <w:rPr>
                <w:rFonts w:hint="eastAsia"/>
                <w:color w:val="000000"/>
                <w:kern w:val="0"/>
                <w:sz w:val="24"/>
              </w:rPr>
              <w:t>注射用卡瑞利珠单抗联合苹果酸法米替尼胶囊治疗经过一线级以上治疗失败的复发转移性宫颈癌。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809" w:type="dxa"/>
            <w:vAlign w:val="center"/>
          </w:tcPr>
          <w:p>
            <w:pPr>
              <w:widowControl/>
              <w:spacing w:line="240" w:lineRule="auto"/>
              <w:ind w:firstLine="0" w:firstLineChars="0"/>
              <w:jc w:val="center"/>
              <w:rPr>
                <w:color w:val="000000"/>
                <w:kern w:val="0"/>
                <w:sz w:val="24"/>
              </w:rPr>
            </w:pPr>
            <w:r>
              <w:rPr>
                <w:rFonts w:hint="eastAsia"/>
                <w:color w:val="000000"/>
                <w:kern w:val="0"/>
                <w:sz w:val="24"/>
              </w:rPr>
              <w:t>7</w:t>
            </w:r>
          </w:p>
        </w:tc>
        <w:tc>
          <w:tcPr>
            <w:tcW w:w="1559" w:type="dxa"/>
            <w:shd w:val="clear" w:color="auto" w:fill="auto"/>
            <w:vAlign w:val="center"/>
          </w:tcPr>
          <w:p>
            <w:pPr>
              <w:widowControl/>
              <w:spacing w:line="240" w:lineRule="auto"/>
              <w:ind w:firstLine="0" w:firstLineChars="0"/>
              <w:jc w:val="center"/>
              <w:rPr>
                <w:color w:val="000000"/>
                <w:kern w:val="0"/>
                <w:sz w:val="24"/>
              </w:rPr>
            </w:pPr>
            <w:r>
              <w:rPr>
                <w:rFonts w:hint="eastAsia"/>
                <w:color w:val="000000"/>
                <w:kern w:val="0"/>
                <w:sz w:val="24"/>
              </w:rPr>
              <w:t>注射用卡瑞利珠单抗</w:t>
            </w:r>
          </w:p>
        </w:tc>
        <w:tc>
          <w:tcPr>
            <w:tcW w:w="4189" w:type="dxa"/>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用于治疗末线宫颈癌，本品联合治疗现有有效性数据体现出突出的治疗效果。</w:t>
            </w:r>
          </w:p>
        </w:tc>
        <w:tc>
          <w:tcPr>
            <w:tcW w:w="3082" w:type="dxa"/>
            <w:shd w:val="clear" w:color="auto" w:fill="auto"/>
            <w:vAlign w:val="center"/>
          </w:tcPr>
          <w:p>
            <w:pPr>
              <w:widowControl/>
              <w:spacing w:line="240" w:lineRule="auto"/>
              <w:ind w:firstLine="0" w:firstLineChars="0"/>
              <w:rPr>
                <w:color w:val="000000"/>
                <w:kern w:val="0"/>
                <w:sz w:val="24"/>
              </w:rPr>
            </w:pPr>
            <w:r>
              <w:rPr>
                <w:rFonts w:hint="eastAsia"/>
                <w:color w:val="000000"/>
                <w:sz w:val="24"/>
              </w:rPr>
              <w:t>用于</w:t>
            </w:r>
            <w:r>
              <w:rPr>
                <w:rFonts w:hint="eastAsia"/>
                <w:color w:val="000000"/>
                <w:kern w:val="0"/>
                <w:sz w:val="24"/>
              </w:rPr>
              <w:t>注射用卡瑞利珠单抗联合苹果酸法米替尼胶囊治疗经过一线级以上治疗失败的复发转移性宫颈癌。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2" w:hRule="atLeast"/>
          <w:jc w:val="center"/>
        </w:trPr>
        <w:tc>
          <w:tcPr>
            <w:tcW w:w="809" w:type="dxa"/>
            <w:vAlign w:val="center"/>
          </w:tcPr>
          <w:p>
            <w:pPr>
              <w:widowControl/>
              <w:spacing w:line="240" w:lineRule="auto"/>
              <w:ind w:firstLine="0" w:firstLineChars="0"/>
              <w:jc w:val="center"/>
              <w:rPr>
                <w:color w:val="000000"/>
                <w:kern w:val="0"/>
                <w:sz w:val="24"/>
              </w:rPr>
            </w:pPr>
            <w:r>
              <w:rPr>
                <w:rFonts w:hint="eastAsia"/>
                <w:color w:val="000000"/>
                <w:kern w:val="0"/>
                <w:sz w:val="24"/>
              </w:rPr>
              <w:t>8</w:t>
            </w:r>
          </w:p>
        </w:tc>
        <w:tc>
          <w:tcPr>
            <w:tcW w:w="1559" w:type="dxa"/>
            <w:shd w:val="clear" w:color="auto" w:fill="auto"/>
            <w:vAlign w:val="center"/>
          </w:tcPr>
          <w:p>
            <w:pPr>
              <w:widowControl/>
              <w:spacing w:line="240" w:lineRule="auto"/>
              <w:ind w:firstLine="0" w:firstLineChars="0"/>
              <w:jc w:val="center"/>
              <w:rPr>
                <w:color w:val="000000"/>
                <w:kern w:val="0"/>
                <w:sz w:val="24"/>
              </w:rPr>
            </w:pPr>
            <w:r>
              <w:rPr>
                <w:rFonts w:hint="eastAsia"/>
                <w:color w:val="000000"/>
                <w:kern w:val="0"/>
                <w:sz w:val="24"/>
              </w:rPr>
              <w:t>注射用重组人源化抗HER2单抗-MMAE偶联剂</w:t>
            </w:r>
          </w:p>
        </w:tc>
        <w:tc>
          <w:tcPr>
            <w:tcW w:w="4189" w:type="dxa"/>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本品拟定适应症HER-2阳性复发难治尿路上皮癌，本品单药较历史数据具有显著提高的客观缓解率。</w:t>
            </w:r>
          </w:p>
        </w:tc>
        <w:tc>
          <w:tcPr>
            <w:tcW w:w="3082" w:type="dxa"/>
            <w:shd w:val="clear" w:color="auto" w:fill="auto"/>
            <w:vAlign w:val="center"/>
          </w:tcPr>
          <w:p>
            <w:pPr>
              <w:widowControl/>
              <w:spacing w:line="240" w:lineRule="auto"/>
              <w:ind w:firstLine="0" w:firstLineChars="0"/>
              <w:rPr>
                <w:color w:val="000000"/>
                <w:kern w:val="0"/>
                <w:sz w:val="24"/>
              </w:rPr>
            </w:pPr>
            <w:r>
              <w:rPr>
                <w:rFonts w:hint="eastAsia"/>
                <w:color w:val="000000"/>
                <w:sz w:val="24"/>
              </w:rPr>
              <w:t>用于</w:t>
            </w:r>
            <w:r>
              <w:rPr>
                <w:rFonts w:hint="eastAsia"/>
                <w:color w:val="000000"/>
                <w:kern w:val="0"/>
                <w:sz w:val="24"/>
              </w:rPr>
              <w:t>HER2过表达局部晚期或转移性尿路上皮癌患者（包括膀胱、输尿管、肾盂及尿道来源），且为既往经过化疗失败后进展的患者。HER2过表达定义为经IHC检测原发灶或转移灶肿瘤组织HER2表达为IHC 2+或IHC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jc w:val="center"/>
        </w:trPr>
        <w:tc>
          <w:tcPr>
            <w:tcW w:w="809" w:type="dxa"/>
            <w:vAlign w:val="center"/>
          </w:tcPr>
          <w:p>
            <w:pPr>
              <w:widowControl/>
              <w:spacing w:line="240" w:lineRule="auto"/>
              <w:ind w:firstLine="0" w:firstLineChars="0"/>
              <w:jc w:val="center"/>
              <w:rPr>
                <w:color w:val="000000"/>
                <w:kern w:val="0"/>
                <w:sz w:val="24"/>
              </w:rPr>
            </w:pPr>
            <w:r>
              <w:rPr>
                <w:rFonts w:hint="eastAsia"/>
                <w:color w:val="000000"/>
                <w:kern w:val="0"/>
                <w:sz w:val="24"/>
              </w:rPr>
              <w:t>9</w:t>
            </w:r>
          </w:p>
        </w:tc>
        <w:tc>
          <w:tcPr>
            <w:tcW w:w="1559" w:type="dxa"/>
            <w:shd w:val="clear" w:color="auto" w:fill="auto"/>
            <w:vAlign w:val="center"/>
          </w:tcPr>
          <w:p>
            <w:pPr>
              <w:widowControl/>
              <w:spacing w:line="240" w:lineRule="auto"/>
              <w:ind w:firstLine="0" w:firstLineChars="0"/>
              <w:jc w:val="center"/>
              <w:rPr>
                <w:color w:val="000000"/>
                <w:kern w:val="0"/>
                <w:sz w:val="24"/>
              </w:rPr>
            </w:pPr>
            <w:r>
              <w:rPr>
                <w:rFonts w:hint="eastAsia"/>
                <w:color w:val="000000"/>
                <w:kern w:val="0"/>
                <w:sz w:val="24"/>
              </w:rPr>
              <w:t>DZD9008片</w:t>
            </w:r>
          </w:p>
        </w:tc>
        <w:tc>
          <w:tcPr>
            <w:tcW w:w="4189" w:type="dxa"/>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1.本品拟定适应症为EGFR第20外显子插入突变的晚期非小细胞肺癌，无有效治疗药物获批。</w:t>
            </w:r>
          </w:p>
          <w:p>
            <w:pPr>
              <w:widowControl/>
              <w:spacing w:line="240" w:lineRule="auto"/>
              <w:ind w:firstLine="0" w:firstLineChars="0"/>
              <w:rPr>
                <w:color w:val="000000"/>
                <w:kern w:val="0"/>
                <w:sz w:val="24"/>
              </w:rPr>
            </w:pPr>
            <w:r>
              <w:rPr>
                <w:rFonts w:hint="eastAsia"/>
                <w:color w:val="000000"/>
                <w:kern w:val="0"/>
                <w:sz w:val="24"/>
              </w:rPr>
              <w:t>2.本品前期有效性数据较历史数据显著提高，复发难治患者中具有较高的客观缓解率，且在同靶点产品耐药患者中显示出初步疗效。</w:t>
            </w:r>
          </w:p>
        </w:tc>
        <w:tc>
          <w:tcPr>
            <w:tcW w:w="3082" w:type="dxa"/>
            <w:shd w:val="clear" w:color="auto" w:fill="auto"/>
            <w:vAlign w:val="center"/>
          </w:tcPr>
          <w:p>
            <w:pPr>
              <w:widowControl/>
              <w:spacing w:line="240" w:lineRule="auto"/>
              <w:ind w:firstLine="0" w:firstLineChars="0"/>
              <w:rPr>
                <w:color w:val="000000"/>
                <w:kern w:val="0"/>
                <w:sz w:val="24"/>
              </w:rPr>
            </w:pPr>
            <w:r>
              <w:rPr>
                <w:rFonts w:hint="eastAsia"/>
                <w:color w:val="000000"/>
                <w:sz w:val="24"/>
              </w:rPr>
              <w:t>用于</w:t>
            </w:r>
            <w:r>
              <w:rPr>
                <w:rFonts w:hint="eastAsia"/>
                <w:color w:val="000000"/>
                <w:kern w:val="0"/>
                <w:sz w:val="24"/>
              </w:rPr>
              <w:t>既往至少接受过一次全身化疗的携带表皮生长因子受体（EGFR）20号外显子插入突变的局部晚期或转移性非小细胞肺癌（NSCLC）。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809" w:type="dxa"/>
            <w:vAlign w:val="center"/>
          </w:tcPr>
          <w:p>
            <w:pPr>
              <w:widowControl/>
              <w:spacing w:line="240" w:lineRule="auto"/>
              <w:ind w:firstLine="0" w:firstLineChars="0"/>
              <w:jc w:val="center"/>
              <w:rPr>
                <w:color w:val="000000"/>
                <w:kern w:val="0"/>
                <w:sz w:val="24"/>
              </w:rPr>
            </w:pPr>
            <w:r>
              <w:rPr>
                <w:rFonts w:hint="eastAsia"/>
                <w:color w:val="000000"/>
                <w:kern w:val="0"/>
                <w:sz w:val="24"/>
              </w:rPr>
              <w:t>10</w:t>
            </w:r>
          </w:p>
        </w:tc>
        <w:tc>
          <w:tcPr>
            <w:tcW w:w="1559" w:type="dxa"/>
            <w:shd w:val="clear" w:color="auto" w:fill="auto"/>
            <w:vAlign w:val="center"/>
          </w:tcPr>
          <w:p>
            <w:pPr>
              <w:widowControl/>
              <w:spacing w:line="240" w:lineRule="auto"/>
              <w:ind w:firstLine="0" w:firstLineChars="0"/>
              <w:jc w:val="center"/>
              <w:rPr>
                <w:color w:val="000000"/>
                <w:kern w:val="0"/>
                <w:sz w:val="24"/>
              </w:rPr>
            </w:pPr>
            <w:r>
              <w:rPr>
                <w:rFonts w:hint="eastAsia"/>
                <w:color w:val="000000"/>
                <w:kern w:val="0"/>
                <w:sz w:val="24"/>
              </w:rPr>
              <w:t>西奥罗尼</w:t>
            </w:r>
          </w:p>
          <w:p>
            <w:pPr>
              <w:widowControl/>
              <w:spacing w:line="240" w:lineRule="auto"/>
              <w:ind w:firstLine="0" w:firstLineChars="0"/>
              <w:jc w:val="center"/>
              <w:rPr>
                <w:color w:val="000000"/>
                <w:kern w:val="0"/>
                <w:sz w:val="24"/>
              </w:rPr>
            </w:pPr>
            <w:r>
              <w:rPr>
                <w:rFonts w:hint="eastAsia"/>
                <w:color w:val="000000"/>
                <w:kern w:val="0"/>
                <w:sz w:val="24"/>
              </w:rPr>
              <w:t>胶囊</w:t>
            </w:r>
          </w:p>
        </w:tc>
        <w:tc>
          <w:tcPr>
            <w:tcW w:w="4189" w:type="dxa"/>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1.本品拟定适应症复发难治的广泛期小细胞肺癌属于难治疾病背景。</w:t>
            </w:r>
          </w:p>
          <w:p>
            <w:pPr>
              <w:widowControl/>
              <w:spacing w:line="240" w:lineRule="auto"/>
              <w:ind w:firstLine="0" w:firstLineChars="0"/>
              <w:rPr>
                <w:color w:val="000000"/>
                <w:kern w:val="0"/>
                <w:sz w:val="24"/>
              </w:rPr>
            </w:pPr>
            <w:r>
              <w:rPr>
                <w:rFonts w:hint="eastAsia"/>
                <w:color w:val="000000"/>
                <w:kern w:val="0"/>
                <w:sz w:val="24"/>
              </w:rPr>
              <w:t>2.本品当前有效性数据突出，与历史数据对照具有较高的客观缓解率和无进展生存期。</w:t>
            </w:r>
          </w:p>
        </w:tc>
        <w:tc>
          <w:tcPr>
            <w:tcW w:w="3082" w:type="dxa"/>
            <w:shd w:val="clear" w:color="auto" w:fill="auto"/>
            <w:vAlign w:val="center"/>
          </w:tcPr>
          <w:p>
            <w:pPr>
              <w:widowControl/>
              <w:spacing w:line="240" w:lineRule="auto"/>
              <w:ind w:firstLine="0" w:firstLineChars="0"/>
              <w:rPr>
                <w:color w:val="000000"/>
                <w:kern w:val="0"/>
                <w:sz w:val="24"/>
              </w:rPr>
            </w:pPr>
            <w:r>
              <w:rPr>
                <w:rFonts w:hint="eastAsia"/>
                <w:color w:val="000000"/>
                <w:sz w:val="24"/>
              </w:rPr>
              <w:t>用于</w:t>
            </w:r>
            <w:r>
              <w:rPr>
                <w:rFonts w:hint="eastAsia"/>
                <w:color w:val="000000"/>
                <w:kern w:val="0"/>
                <w:sz w:val="24"/>
              </w:rPr>
              <w:t>西奥罗尼胶囊单药治疗经过2线系统化疗方案治疗后疾病进展或复发的小细胞肺癌。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809" w:type="dxa"/>
            <w:vAlign w:val="center"/>
          </w:tcPr>
          <w:p>
            <w:pPr>
              <w:widowControl/>
              <w:spacing w:line="240" w:lineRule="auto"/>
              <w:ind w:firstLine="0" w:firstLineChars="0"/>
              <w:jc w:val="center"/>
              <w:rPr>
                <w:color w:val="000000"/>
                <w:kern w:val="0"/>
                <w:sz w:val="24"/>
              </w:rPr>
            </w:pPr>
            <w:r>
              <w:rPr>
                <w:rFonts w:hint="eastAsia"/>
                <w:color w:val="000000"/>
                <w:kern w:val="0"/>
                <w:sz w:val="24"/>
              </w:rPr>
              <w:t>11</w:t>
            </w:r>
          </w:p>
        </w:tc>
        <w:tc>
          <w:tcPr>
            <w:tcW w:w="1559" w:type="dxa"/>
            <w:shd w:val="clear" w:color="auto" w:fill="auto"/>
            <w:vAlign w:val="center"/>
          </w:tcPr>
          <w:p>
            <w:pPr>
              <w:widowControl/>
              <w:spacing w:line="240" w:lineRule="auto"/>
              <w:ind w:firstLine="0" w:firstLineChars="0"/>
              <w:jc w:val="center"/>
              <w:rPr>
                <w:color w:val="000000"/>
                <w:kern w:val="0"/>
                <w:sz w:val="24"/>
              </w:rPr>
            </w:pPr>
            <w:r>
              <w:rPr>
                <w:rFonts w:hint="eastAsia"/>
                <w:color w:val="000000"/>
                <w:kern w:val="0"/>
                <w:sz w:val="24"/>
              </w:rPr>
              <w:t>BLU-667</w:t>
            </w:r>
          </w:p>
          <w:p>
            <w:pPr>
              <w:widowControl/>
              <w:spacing w:line="240" w:lineRule="auto"/>
              <w:ind w:firstLine="0" w:firstLineChars="0"/>
              <w:jc w:val="center"/>
              <w:rPr>
                <w:color w:val="000000"/>
                <w:kern w:val="0"/>
                <w:sz w:val="24"/>
              </w:rPr>
            </w:pPr>
            <w:r>
              <w:rPr>
                <w:rFonts w:hint="eastAsia"/>
                <w:color w:val="000000"/>
                <w:kern w:val="0"/>
                <w:sz w:val="24"/>
              </w:rPr>
              <w:t>胶囊</w:t>
            </w:r>
          </w:p>
        </w:tc>
        <w:tc>
          <w:tcPr>
            <w:tcW w:w="4189" w:type="dxa"/>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1.本品拟定的RET融合阳性甲状腺髓样癌属于难治疾病背景。</w:t>
            </w:r>
          </w:p>
          <w:p>
            <w:pPr>
              <w:widowControl/>
              <w:spacing w:line="240" w:lineRule="auto"/>
              <w:ind w:firstLine="0" w:firstLineChars="0"/>
              <w:rPr>
                <w:color w:val="000000"/>
                <w:kern w:val="0"/>
                <w:sz w:val="24"/>
              </w:rPr>
            </w:pPr>
            <w:r>
              <w:rPr>
                <w:rFonts w:hint="eastAsia"/>
                <w:color w:val="000000"/>
                <w:kern w:val="0"/>
                <w:sz w:val="24"/>
              </w:rPr>
              <w:t>2.本品当前有效性数据突出，与历史数据对照具有较高的客观缓解率和持久的缓解持续时间。</w:t>
            </w:r>
          </w:p>
        </w:tc>
        <w:tc>
          <w:tcPr>
            <w:tcW w:w="3082" w:type="dxa"/>
            <w:shd w:val="clear" w:color="auto" w:fill="auto"/>
            <w:vAlign w:val="center"/>
          </w:tcPr>
          <w:p>
            <w:pPr>
              <w:widowControl/>
              <w:spacing w:line="240" w:lineRule="auto"/>
              <w:ind w:firstLine="0" w:firstLineChars="0"/>
              <w:rPr>
                <w:color w:val="000000"/>
                <w:kern w:val="0"/>
                <w:sz w:val="24"/>
              </w:rPr>
            </w:pPr>
            <w:r>
              <w:rPr>
                <w:rFonts w:hint="eastAsia"/>
                <w:color w:val="000000"/>
                <w:sz w:val="24"/>
              </w:rPr>
              <w:t>用于</w:t>
            </w:r>
            <w:r>
              <w:rPr>
                <w:rFonts w:hint="eastAsia"/>
                <w:color w:val="000000"/>
                <w:kern w:val="0"/>
                <w:sz w:val="24"/>
              </w:rPr>
              <w:t>转染重排（RET）突变阳性的晚期或转移性甲状腺髓样癌（MTC）患者的系统性治疗。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809" w:type="dxa"/>
            <w:vAlign w:val="center"/>
          </w:tcPr>
          <w:p>
            <w:pPr>
              <w:widowControl/>
              <w:spacing w:line="240" w:lineRule="auto"/>
              <w:ind w:firstLine="0" w:firstLineChars="0"/>
              <w:jc w:val="center"/>
              <w:rPr>
                <w:color w:val="000000"/>
                <w:kern w:val="0"/>
                <w:sz w:val="24"/>
              </w:rPr>
            </w:pPr>
            <w:r>
              <w:rPr>
                <w:rFonts w:hint="eastAsia"/>
                <w:color w:val="000000"/>
                <w:kern w:val="0"/>
                <w:sz w:val="24"/>
              </w:rPr>
              <w:t>12</w:t>
            </w:r>
          </w:p>
        </w:tc>
        <w:tc>
          <w:tcPr>
            <w:tcW w:w="1559" w:type="dxa"/>
            <w:shd w:val="clear" w:color="auto" w:fill="auto"/>
            <w:vAlign w:val="center"/>
          </w:tcPr>
          <w:p>
            <w:pPr>
              <w:widowControl/>
              <w:spacing w:line="240" w:lineRule="auto"/>
              <w:ind w:firstLine="0" w:firstLineChars="0"/>
              <w:jc w:val="center"/>
              <w:rPr>
                <w:color w:val="000000"/>
                <w:kern w:val="0"/>
                <w:sz w:val="24"/>
              </w:rPr>
            </w:pPr>
            <w:r>
              <w:rPr>
                <w:rFonts w:hint="eastAsia"/>
                <w:color w:val="000000"/>
                <w:kern w:val="0"/>
                <w:sz w:val="24"/>
              </w:rPr>
              <w:t>DS-8201a</w:t>
            </w:r>
          </w:p>
        </w:tc>
        <w:tc>
          <w:tcPr>
            <w:tcW w:w="4189" w:type="dxa"/>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1.本品目标适应症为既往接受过一种或一种以上治疗方案的HER2阳性局部晚期或转移性胃或食管胃结合部（GEJ）腺癌，疾病符合当前BTD程序的情形。</w:t>
            </w:r>
          </w:p>
          <w:p>
            <w:pPr>
              <w:widowControl/>
              <w:spacing w:line="240" w:lineRule="auto"/>
              <w:ind w:firstLine="0" w:firstLineChars="0"/>
              <w:rPr>
                <w:color w:val="000000"/>
                <w:kern w:val="0"/>
                <w:sz w:val="24"/>
              </w:rPr>
            </w:pPr>
            <w:r>
              <w:rPr>
                <w:rFonts w:hint="eastAsia"/>
                <w:color w:val="000000"/>
                <w:kern w:val="0"/>
                <w:sz w:val="24"/>
              </w:rPr>
              <w:t>2.本品疗效突出，与胃癌二线治疗历史对照数据相比具有较为突出的疗效优势。</w:t>
            </w:r>
          </w:p>
        </w:tc>
        <w:tc>
          <w:tcPr>
            <w:tcW w:w="3082" w:type="dxa"/>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用于既往接受过一种或一种以上治疗方案的HER2阳性局部晚期或转移性胃或食管胃结合部（GEJ）腺癌成人患者。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809" w:type="dxa"/>
            <w:vAlign w:val="center"/>
          </w:tcPr>
          <w:p>
            <w:pPr>
              <w:widowControl/>
              <w:spacing w:line="240" w:lineRule="auto"/>
              <w:ind w:firstLine="0" w:firstLineChars="0"/>
              <w:jc w:val="center"/>
              <w:rPr>
                <w:color w:val="000000"/>
                <w:kern w:val="0"/>
                <w:sz w:val="24"/>
              </w:rPr>
            </w:pPr>
            <w:r>
              <w:rPr>
                <w:rFonts w:hint="eastAsia"/>
                <w:color w:val="000000"/>
                <w:kern w:val="0"/>
                <w:sz w:val="24"/>
              </w:rPr>
              <w:t>13</w:t>
            </w:r>
          </w:p>
        </w:tc>
        <w:tc>
          <w:tcPr>
            <w:tcW w:w="1559" w:type="dxa"/>
            <w:shd w:val="clear" w:color="auto" w:fill="auto"/>
            <w:vAlign w:val="center"/>
          </w:tcPr>
          <w:p>
            <w:pPr>
              <w:widowControl/>
              <w:spacing w:line="240" w:lineRule="auto"/>
              <w:ind w:firstLine="0" w:firstLineChars="0"/>
              <w:jc w:val="center"/>
              <w:rPr>
                <w:color w:val="000000"/>
                <w:kern w:val="0"/>
                <w:sz w:val="24"/>
              </w:rPr>
            </w:pPr>
            <w:r>
              <w:rPr>
                <w:rFonts w:hint="eastAsia"/>
                <w:color w:val="000000"/>
                <w:kern w:val="0"/>
                <w:sz w:val="24"/>
              </w:rPr>
              <w:t>AK0529肠溶胶囊</w:t>
            </w:r>
          </w:p>
        </w:tc>
        <w:tc>
          <w:tcPr>
            <w:tcW w:w="4189" w:type="dxa"/>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呼吸道合胞病毒引起的重症支气管肺炎可危及生命。目前国内尚无有效治疗手段，该药物已有临床试验数据显示，与安慰剂相比，显著提高了疗效。</w:t>
            </w:r>
          </w:p>
        </w:tc>
        <w:tc>
          <w:tcPr>
            <w:tcW w:w="3082" w:type="dxa"/>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用于呼吸道合胞病毒感染引起的上呼吸道感染和下呼吸道感染，包括病毒性支气管炎和肺炎。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809" w:type="dxa"/>
            <w:vAlign w:val="center"/>
          </w:tcPr>
          <w:p>
            <w:pPr>
              <w:widowControl/>
              <w:spacing w:line="240" w:lineRule="auto"/>
              <w:ind w:firstLine="0" w:firstLineChars="0"/>
              <w:jc w:val="center"/>
              <w:rPr>
                <w:color w:val="000000"/>
                <w:kern w:val="0"/>
                <w:sz w:val="24"/>
              </w:rPr>
            </w:pPr>
            <w:r>
              <w:rPr>
                <w:rFonts w:hint="eastAsia"/>
                <w:color w:val="000000"/>
                <w:kern w:val="0"/>
                <w:sz w:val="24"/>
              </w:rPr>
              <w:t>14</w:t>
            </w:r>
          </w:p>
        </w:tc>
        <w:tc>
          <w:tcPr>
            <w:tcW w:w="1559" w:type="dxa"/>
            <w:shd w:val="clear" w:color="auto" w:fill="auto"/>
            <w:vAlign w:val="center"/>
          </w:tcPr>
          <w:p>
            <w:pPr>
              <w:widowControl/>
              <w:spacing w:line="240" w:lineRule="auto"/>
              <w:ind w:firstLine="0" w:firstLineChars="0"/>
              <w:jc w:val="center"/>
              <w:rPr>
                <w:color w:val="000000"/>
                <w:kern w:val="0"/>
                <w:sz w:val="24"/>
              </w:rPr>
            </w:pPr>
            <w:r>
              <w:rPr>
                <w:rFonts w:hint="eastAsia"/>
                <w:color w:val="000000"/>
                <w:kern w:val="0"/>
                <w:sz w:val="24"/>
              </w:rPr>
              <w:t>Nefecon缓释胶囊</w:t>
            </w:r>
          </w:p>
        </w:tc>
        <w:tc>
          <w:tcPr>
            <w:tcW w:w="4189" w:type="dxa"/>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原发性IgA肾病（IgAN）严重影响生存质量，尚无有效治疗手段。本品已有的临床试验数据显示，与安慰剂相比，在重要临床结局上具有显著临床意义的疗效。</w:t>
            </w:r>
          </w:p>
        </w:tc>
        <w:tc>
          <w:tcPr>
            <w:tcW w:w="3082" w:type="dxa"/>
            <w:shd w:val="clear" w:color="auto" w:fill="auto"/>
            <w:vAlign w:val="center"/>
          </w:tcPr>
          <w:p>
            <w:pPr>
              <w:widowControl/>
              <w:spacing w:line="240" w:lineRule="auto"/>
              <w:ind w:firstLine="0" w:firstLineChars="0"/>
              <w:rPr>
                <w:color w:val="000000"/>
                <w:kern w:val="0"/>
                <w:sz w:val="24"/>
              </w:rPr>
            </w:pPr>
            <w:r>
              <w:rPr>
                <w:rFonts w:hint="eastAsia"/>
                <w:color w:val="000000"/>
                <w:sz w:val="24"/>
              </w:rPr>
              <w:t>用于</w:t>
            </w:r>
            <w:r>
              <w:rPr>
                <w:rFonts w:hint="eastAsia"/>
                <w:color w:val="000000"/>
                <w:kern w:val="0"/>
                <w:sz w:val="24"/>
              </w:rPr>
              <w:t>原发性IgA肾病（IgAN）。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809" w:type="dxa"/>
            <w:vAlign w:val="center"/>
          </w:tcPr>
          <w:p>
            <w:pPr>
              <w:widowControl/>
              <w:spacing w:line="240" w:lineRule="auto"/>
              <w:ind w:firstLine="0" w:firstLineChars="0"/>
              <w:jc w:val="center"/>
              <w:rPr>
                <w:color w:val="000000"/>
                <w:kern w:val="0"/>
                <w:sz w:val="24"/>
              </w:rPr>
            </w:pPr>
            <w:r>
              <w:rPr>
                <w:rFonts w:hint="eastAsia"/>
                <w:color w:val="000000"/>
                <w:kern w:val="0"/>
                <w:sz w:val="24"/>
              </w:rPr>
              <w:t>15</w:t>
            </w:r>
          </w:p>
        </w:tc>
        <w:tc>
          <w:tcPr>
            <w:tcW w:w="1559" w:type="dxa"/>
            <w:shd w:val="clear" w:color="auto" w:fill="auto"/>
            <w:vAlign w:val="center"/>
          </w:tcPr>
          <w:p>
            <w:pPr>
              <w:widowControl/>
              <w:spacing w:line="240" w:lineRule="auto"/>
              <w:ind w:firstLine="0" w:firstLineChars="0"/>
              <w:jc w:val="center"/>
              <w:rPr>
                <w:color w:val="000000"/>
                <w:kern w:val="0"/>
                <w:sz w:val="24"/>
              </w:rPr>
            </w:pPr>
            <w:r>
              <w:rPr>
                <w:rFonts w:hint="eastAsia"/>
                <w:color w:val="000000"/>
                <w:kern w:val="0"/>
                <w:sz w:val="24"/>
              </w:rPr>
              <w:t>TQJ230</w:t>
            </w:r>
          </w:p>
          <w:p>
            <w:pPr>
              <w:widowControl/>
              <w:spacing w:line="240" w:lineRule="auto"/>
              <w:ind w:firstLine="0" w:firstLineChars="0"/>
              <w:jc w:val="center"/>
              <w:rPr>
                <w:color w:val="000000"/>
                <w:kern w:val="0"/>
                <w:sz w:val="24"/>
              </w:rPr>
            </w:pPr>
            <w:r>
              <w:rPr>
                <w:rFonts w:hint="eastAsia"/>
                <w:color w:val="000000"/>
                <w:kern w:val="0"/>
                <w:sz w:val="24"/>
              </w:rPr>
              <w:t>注射液</w:t>
            </w:r>
          </w:p>
        </w:tc>
        <w:tc>
          <w:tcPr>
            <w:tcW w:w="4189" w:type="dxa"/>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心血管疾病严重危及生命。脂蛋白（a）水平由遗传因素决定，是心血管疾病的独立危险因素之一。目前，尚无针对该指标的药物获准上市。本品已有临床试验数据显示，与安慰剂相比，显著降低脂蛋白（a）水平。</w:t>
            </w:r>
          </w:p>
        </w:tc>
        <w:tc>
          <w:tcPr>
            <w:tcW w:w="3082" w:type="dxa"/>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通过降低脂蛋白（a）水平减少心血管疾病的风险。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809" w:type="dxa"/>
            <w:vAlign w:val="center"/>
          </w:tcPr>
          <w:p>
            <w:pPr>
              <w:widowControl/>
              <w:spacing w:line="240" w:lineRule="auto"/>
              <w:ind w:firstLine="0" w:firstLineChars="0"/>
              <w:jc w:val="center"/>
              <w:rPr>
                <w:color w:val="000000"/>
                <w:kern w:val="0"/>
                <w:sz w:val="24"/>
              </w:rPr>
            </w:pPr>
            <w:r>
              <w:rPr>
                <w:rFonts w:hint="eastAsia"/>
                <w:color w:val="000000"/>
                <w:kern w:val="0"/>
                <w:sz w:val="24"/>
              </w:rPr>
              <w:t>16</w:t>
            </w:r>
          </w:p>
        </w:tc>
        <w:tc>
          <w:tcPr>
            <w:tcW w:w="1559" w:type="dxa"/>
            <w:shd w:val="clear" w:color="auto" w:fill="auto"/>
            <w:vAlign w:val="center"/>
          </w:tcPr>
          <w:p>
            <w:pPr>
              <w:widowControl/>
              <w:spacing w:line="240" w:lineRule="auto"/>
              <w:ind w:firstLine="0" w:firstLineChars="0"/>
              <w:jc w:val="center"/>
              <w:rPr>
                <w:color w:val="000000"/>
                <w:kern w:val="0"/>
                <w:sz w:val="24"/>
              </w:rPr>
            </w:pPr>
            <w:r>
              <w:rPr>
                <w:rFonts w:hint="eastAsia"/>
                <w:color w:val="000000"/>
                <w:kern w:val="0"/>
                <w:sz w:val="24"/>
              </w:rPr>
              <w:t>PF-06651600片</w:t>
            </w:r>
          </w:p>
        </w:tc>
        <w:tc>
          <w:tcPr>
            <w:tcW w:w="4189" w:type="dxa"/>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斑秃（包括全秃）是严重影响生存质量的疾病，目前缺乏有效治疗手段，本品境外</w:t>
            </w:r>
            <w:r>
              <w:rPr>
                <w:rFonts w:hint="eastAsia" w:ascii="宋体" w:hAnsi="宋体" w:eastAsia="宋体" w:cs="宋体"/>
                <w:color w:val="000000"/>
                <w:kern w:val="0"/>
                <w:sz w:val="24"/>
              </w:rPr>
              <w:t>Ⅱ</w:t>
            </w:r>
            <w:r>
              <w:rPr>
                <w:color w:val="000000"/>
                <w:kern w:val="0"/>
                <w:sz w:val="24"/>
              </w:rPr>
              <w:t>a期数据初步显示其可显著提高此类患</w:t>
            </w:r>
            <w:r>
              <w:rPr>
                <w:rFonts w:hint="eastAsia"/>
                <w:color w:val="000000"/>
                <w:kern w:val="0"/>
                <w:sz w:val="24"/>
              </w:rPr>
              <w:t>者生存质量。</w:t>
            </w:r>
          </w:p>
        </w:tc>
        <w:tc>
          <w:tcPr>
            <w:tcW w:w="3082" w:type="dxa"/>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用于≥12岁斑秃患者（包括全秃[AT]和普秃[AU]）的治疗。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809" w:type="dxa"/>
            <w:vAlign w:val="center"/>
          </w:tcPr>
          <w:p>
            <w:pPr>
              <w:widowControl/>
              <w:spacing w:line="240" w:lineRule="auto"/>
              <w:ind w:firstLine="0" w:firstLineChars="0"/>
              <w:jc w:val="center"/>
              <w:rPr>
                <w:color w:val="000000"/>
                <w:kern w:val="0"/>
                <w:sz w:val="24"/>
              </w:rPr>
            </w:pPr>
            <w:r>
              <w:rPr>
                <w:rFonts w:hint="eastAsia"/>
                <w:color w:val="000000"/>
                <w:kern w:val="0"/>
                <w:sz w:val="24"/>
              </w:rPr>
              <w:t>17</w:t>
            </w:r>
          </w:p>
        </w:tc>
        <w:tc>
          <w:tcPr>
            <w:tcW w:w="1559" w:type="dxa"/>
            <w:shd w:val="clear" w:color="auto" w:fill="auto"/>
            <w:vAlign w:val="center"/>
          </w:tcPr>
          <w:p>
            <w:pPr>
              <w:widowControl/>
              <w:spacing w:line="240" w:lineRule="auto"/>
              <w:ind w:firstLine="0" w:firstLineChars="0"/>
              <w:jc w:val="center"/>
              <w:rPr>
                <w:color w:val="000000"/>
                <w:kern w:val="0"/>
                <w:sz w:val="24"/>
              </w:rPr>
            </w:pPr>
            <w:r>
              <w:rPr>
                <w:rFonts w:hint="eastAsia"/>
                <w:color w:val="000000"/>
                <w:kern w:val="0"/>
                <w:sz w:val="24"/>
              </w:rPr>
              <w:t>BN101片</w:t>
            </w:r>
          </w:p>
        </w:tc>
        <w:tc>
          <w:tcPr>
            <w:tcW w:w="4189" w:type="dxa"/>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慢性移植物抗宿主病属于严重影响生存质量的疾病，且尚无有效防治手段。本品已完成的</w:t>
            </w:r>
            <w:r>
              <w:rPr>
                <w:rFonts w:hint="eastAsia" w:ascii="宋体" w:hAnsi="宋体" w:eastAsia="宋体" w:cs="宋体"/>
                <w:color w:val="000000"/>
                <w:kern w:val="0"/>
                <w:sz w:val="24"/>
              </w:rPr>
              <w:t>Ⅱ</w:t>
            </w:r>
            <w:r>
              <w:rPr>
                <w:color w:val="000000"/>
                <w:kern w:val="0"/>
                <w:sz w:val="24"/>
              </w:rPr>
              <w:t>期</w:t>
            </w:r>
            <w:r>
              <w:rPr>
                <w:rFonts w:hint="eastAsia"/>
                <w:color w:val="000000"/>
                <w:kern w:val="0"/>
                <w:sz w:val="24"/>
              </w:rPr>
              <w:t>临床试验结果提示其用于治疗经过≥2线系统性治疗失败后的慢性移植物抗宿主病的总体缓解率为65%。</w:t>
            </w:r>
          </w:p>
        </w:tc>
        <w:tc>
          <w:tcPr>
            <w:tcW w:w="3082" w:type="dxa"/>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用于至少经过一线系统治疗的慢性移植物抗宿主病（Chronic Graft Versus Host Disease,cGVHD）患者的治疗。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jc w:val="center"/>
        </w:trPr>
        <w:tc>
          <w:tcPr>
            <w:tcW w:w="809" w:type="dxa"/>
            <w:vAlign w:val="center"/>
          </w:tcPr>
          <w:p>
            <w:pPr>
              <w:widowControl/>
              <w:spacing w:line="240" w:lineRule="auto"/>
              <w:ind w:firstLine="0" w:firstLineChars="0"/>
              <w:jc w:val="center"/>
              <w:rPr>
                <w:color w:val="000000"/>
                <w:sz w:val="24"/>
              </w:rPr>
            </w:pPr>
            <w:r>
              <w:rPr>
                <w:rFonts w:hint="eastAsia"/>
                <w:color w:val="000000"/>
                <w:sz w:val="24"/>
              </w:rPr>
              <w:t>18</w:t>
            </w:r>
          </w:p>
        </w:tc>
        <w:tc>
          <w:tcPr>
            <w:tcW w:w="1559" w:type="dxa"/>
            <w:shd w:val="clear" w:color="auto" w:fill="auto"/>
            <w:vAlign w:val="center"/>
          </w:tcPr>
          <w:p>
            <w:pPr>
              <w:widowControl/>
              <w:spacing w:line="240" w:lineRule="auto"/>
              <w:ind w:firstLine="0" w:firstLineChars="0"/>
              <w:jc w:val="center"/>
              <w:rPr>
                <w:color w:val="000000"/>
                <w:kern w:val="0"/>
                <w:sz w:val="24"/>
              </w:rPr>
            </w:pPr>
            <w:r>
              <w:rPr>
                <w:rFonts w:hint="eastAsia"/>
                <w:color w:val="000000"/>
                <w:sz w:val="24"/>
              </w:rPr>
              <w:t>LCAR-B38M CAR-T细胞自体回输制剂（简称：LCAR-B38M细胞制剂）</w:t>
            </w:r>
          </w:p>
        </w:tc>
        <w:tc>
          <w:tcPr>
            <w:tcW w:w="4189" w:type="dxa"/>
            <w:shd w:val="clear" w:color="000000" w:fill="FFFFFF" w:themeFill="background1"/>
            <w:vAlign w:val="center"/>
          </w:tcPr>
          <w:p>
            <w:pPr>
              <w:widowControl/>
              <w:spacing w:line="240" w:lineRule="auto"/>
              <w:ind w:firstLine="0" w:firstLineChars="0"/>
              <w:rPr>
                <w:kern w:val="0"/>
                <w:sz w:val="24"/>
              </w:rPr>
            </w:pPr>
            <w:r>
              <w:rPr>
                <w:rFonts w:hint="eastAsia"/>
                <w:sz w:val="24"/>
              </w:rPr>
              <w:t>符合以下条件：1.拟申请适应症为经过至少3线且至少包括一种PI和一种IMiD治疗后疾病进展的多发性骨髓瘤，为病情严重危及患者生命的疾病。2.目前该疾病在临床无有效治疗手段，本品现有临床试验数据显示，本品能提供有效治疗手段，显著提高临床疗效。</w:t>
            </w:r>
          </w:p>
        </w:tc>
        <w:tc>
          <w:tcPr>
            <w:tcW w:w="3082" w:type="dxa"/>
            <w:shd w:val="clear" w:color="auto" w:fill="auto"/>
            <w:vAlign w:val="center"/>
          </w:tcPr>
          <w:p>
            <w:pPr>
              <w:widowControl/>
              <w:spacing w:line="240" w:lineRule="auto"/>
              <w:ind w:firstLine="0" w:firstLineChars="0"/>
              <w:rPr>
                <w:color w:val="000000"/>
                <w:kern w:val="0"/>
                <w:sz w:val="24"/>
              </w:rPr>
            </w:pPr>
            <w:r>
              <w:rPr>
                <w:rFonts w:hint="eastAsia"/>
                <w:color w:val="000000"/>
                <w:sz w:val="24"/>
              </w:rPr>
              <w:t>用于单药治疗复发或难治性多发性骨髓瘤成人患者，患者既往接受过至少三线治疗，其中包括至少一种蛋白酶体抑制剂和至少一种免疫调节剂。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809" w:type="dxa"/>
            <w:vAlign w:val="center"/>
          </w:tcPr>
          <w:p>
            <w:pPr>
              <w:widowControl/>
              <w:spacing w:line="240" w:lineRule="auto"/>
              <w:ind w:firstLine="0" w:firstLineChars="0"/>
              <w:jc w:val="center"/>
              <w:rPr>
                <w:color w:val="000000"/>
                <w:sz w:val="24"/>
              </w:rPr>
            </w:pPr>
            <w:r>
              <w:rPr>
                <w:rFonts w:hint="eastAsia"/>
                <w:color w:val="000000"/>
                <w:sz w:val="24"/>
              </w:rPr>
              <w:t>19</w:t>
            </w:r>
          </w:p>
        </w:tc>
        <w:tc>
          <w:tcPr>
            <w:tcW w:w="1559" w:type="dxa"/>
            <w:shd w:val="clear" w:color="auto" w:fill="auto"/>
            <w:vAlign w:val="center"/>
          </w:tcPr>
          <w:p>
            <w:pPr>
              <w:widowControl/>
              <w:spacing w:line="240" w:lineRule="auto"/>
              <w:ind w:firstLine="0" w:firstLineChars="0"/>
              <w:jc w:val="center"/>
              <w:rPr>
                <w:color w:val="000000"/>
                <w:kern w:val="0"/>
                <w:sz w:val="24"/>
              </w:rPr>
            </w:pPr>
            <w:r>
              <w:rPr>
                <w:rFonts w:hint="eastAsia"/>
                <w:color w:val="000000"/>
                <w:sz w:val="24"/>
              </w:rPr>
              <w:t>JWCAR029（CD19靶向嵌合抗原受体T细胞）</w:t>
            </w:r>
          </w:p>
        </w:tc>
        <w:tc>
          <w:tcPr>
            <w:tcW w:w="4189" w:type="dxa"/>
            <w:shd w:val="clear" w:color="000000" w:fill="FFFFFF" w:themeFill="background1"/>
            <w:vAlign w:val="center"/>
          </w:tcPr>
          <w:p>
            <w:pPr>
              <w:widowControl/>
              <w:spacing w:line="240" w:lineRule="auto"/>
              <w:ind w:firstLine="0" w:firstLineChars="0"/>
              <w:rPr>
                <w:kern w:val="0"/>
                <w:sz w:val="24"/>
              </w:rPr>
            </w:pPr>
            <w:r>
              <w:rPr>
                <w:rFonts w:hint="eastAsia"/>
                <w:sz w:val="24"/>
              </w:rPr>
              <w:t>用于防治严重危及生命或者严重影响生存质量的疾病；与现有治疗手段相比，该药物具有明显临床优势。</w:t>
            </w:r>
          </w:p>
        </w:tc>
        <w:tc>
          <w:tcPr>
            <w:tcW w:w="3082" w:type="dxa"/>
            <w:shd w:val="clear" w:color="auto" w:fill="auto"/>
            <w:vAlign w:val="center"/>
          </w:tcPr>
          <w:p>
            <w:pPr>
              <w:widowControl/>
              <w:spacing w:line="240" w:lineRule="auto"/>
              <w:ind w:firstLine="0" w:firstLineChars="0"/>
              <w:rPr>
                <w:color w:val="000000"/>
                <w:kern w:val="0"/>
                <w:sz w:val="24"/>
              </w:rPr>
            </w:pPr>
            <w:r>
              <w:rPr>
                <w:rFonts w:hint="eastAsia"/>
                <w:color w:val="000000"/>
                <w:sz w:val="24"/>
              </w:rPr>
              <w:t>用于复发或难治性滤泡淋巴瘤。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809" w:type="dxa"/>
            <w:vAlign w:val="center"/>
          </w:tcPr>
          <w:p>
            <w:pPr>
              <w:widowControl/>
              <w:spacing w:line="240" w:lineRule="auto"/>
              <w:ind w:firstLine="0" w:firstLineChars="0"/>
              <w:jc w:val="center"/>
              <w:rPr>
                <w:color w:val="000000"/>
                <w:sz w:val="24"/>
              </w:rPr>
            </w:pPr>
            <w:r>
              <w:rPr>
                <w:rFonts w:hint="eastAsia"/>
                <w:color w:val="000000"/>
                <w:sz w:val="24"/>
              </w:rPr>
              <w:t>20</w:t>
            </w:r>
          </w:p>
        </w:tc>
        <w:tc>
          <w:tcPr>
            <w:tcW w:w="1559" w:type="dxa"/>
            <w:shd w:val="clear" w:color="auto" w:fill="auto"/>
            <w:vAlign w:val="center"/>
          </w:tcPr>
          <w:p>
            <w:pPr>
              <w:widowControl/>
              <w:spacing w:line="240" w:lineRule="auto"/>
              <w:ind w:firstLine="0" w:firstLineChars="0"/>
              <w:jc w:val="center"/>
              <w:rPr>
                <w:color w:val="000000"/>
                <w:kern w:val="0"/>
                <w:sz w:val="24"/>
              </w:rPr>
            </w:pPr>
            <w:r>
              <w:rPr>
                <w:rFonts w:hint="eastAsia"/>
                <w:color w:val="000000"/>
                <w:sz w:val="24"/>
              </w:rPr>
              <w:t>CT053全人抗BCMA自体CAR T细胞注射液</w:t>
            </w:r>
          </w:p>
        </w:tc>
        <w:tc>
          <w:tcPr>
            <w:tcW w:w="4189" w:type="dxa"/>
            <w:shd w:val="clear" w:color="000000" w:fill="FFFFFF" w:themeFill="background1"/>
            <w:vAlign w:val="center"/>
          </w:tcPr>
          <w:p>
            <w:pPr>
              <w:widowControl/>
              <w:spacing w:line="240" w:lineRule="auto"/>
              <w:ind w:firstLine="0" w:firstLineChars="0"/>
              <w:rPr>
                <w:sz w:val="24"/>
              </w:rPr>
            </w:pPr>
            <w:r>
              <w:rPr>
                <w:rFonts w:hint="eastAsia"/>
                <w:sz w:val="24"/>
              </w:rPr>
              <w:t>1.拟申请适应症为经过至少3线且至少包括一种PI和一种IMiD治疗后疾病进展的多发性骨髓瘤，为病情严重危及患者生命的疾病。</w:t>
            </w:r>
          </w:p>
          <w:p>
            <w:pPr>
              <w:widowControl/>
              <w:spacing w:line="240" w:lineRule="auto"/>
              <w:ind w:firstLine="0" w:firstLineChars="0"/>
              <w:rPr>
                <w:kern w:val="0"/>
                <w:sz w:val="24"/>
              </w:rPr>
            </w:pPr>
            <w:r>
              <w:rPr>
                <w:rFonts w:hint="eastAsia"/>
                <w:sz w:val="24"/>
              </w:rPr>
              <w:t>2.目前该疾病在临床无有效治疗手段，本品现有临床试验数据显示，本品能提供有效治疗手段，显著提高临床疗效。</w:t>
            </w:r>
          </w:p>
        </w:tc>
        <w:tc>
          <w:tcPr>
            <w:tcW w:w="3082" w:type="dxa"/>
            <w:shd w:val="clear" w:color="auto" w:fill="auto"/>
            <w:vAlign w:val="center"/>
          </w:tcPr>
          <w:p>
            <w:pPr>
              <w:widowControl/>
              <w:spacing w:line="240" w:lineRule="auto"/>
              <w:ind w:firstLine="0" w:firstLineChars="0"/>
              <w:rPr>
                <w:color w:val="000000"/>
                <w:kern w:val="0"/>
                <w:sz w:val="24"/>
              </w:rPr>
            </w:pPr>
            <w:r>
              <w:rPr>
                <w:rFonts w:hint="eastAsia"/>
                <w:color w:val="000000"/>
                <w:sz w:val="24"/>
              </w:rPr>
              <w:t>用于复发难治多发性骨髓瘤</w:t>
            </w:r>
            <w:r>
              <w:rPr>
                <w:rFonts w:hint="eastAsia"/>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809" w:type="dxa"/>
            <w:vAlign w:val="center"/>
          </w:tcPr>
          <w:p>
            <w:pPr>
              <w:widowControl/>
              <w:spacing w:line="240" w:lineRule="auto"/>
              <w:ind w:firstLine="0" w:firstLineChars="0"/>
              <w:jc w:val="center"/>
              <w:rPr>
                <w:color w:val="000000"/>
                <w:sz w:val="24"/>
              </w:rPr>
            </w:pPr>
            <w:r>
              <w:rPr>
                <w:rFonts w:hint="eastAsia"/>
                <w:color w:val="000000"/>
                <w:sz w:val="24"/>
              </w:rPr>
              <w:t>21</w:t>
            </w:r>
          </w:p>
        </w:tc>
        <w:tc>
          <w:tcPr>
            <w:tcW w:w="1559" w:type="dxa"/>
            <w:shd w:val="clear" w:color="auto" w:fill="auto"/>
            <w:vAlign w:val="center"/>
          </w:tcPr>
          <w:p>
            <w:pPr>
              <w:widowControl/>
              <w:spacing w:line="240" w:lineRule="auto"/>
              <w:ind w:firstLine="0" w:firstLineChars="0"/>
              <w:jc w:val="center"/>
              <w:rPr>
                <w:color w:val="000000"/>
                <w:kern w:val="0"/>
                <w:sz w:val="24"/>
              </w:rPr>
            </w:pPr>
            <w:r>
              <w:rPr>
                <w:rFonts w:hint="eastAsia"/>
                <w:color w:val="000000"/>
                <w:sz w:val="24"/>
              </w:rPr>
              <w:t>抗CD19嵌合抗原受体T细胞注射液</w:t>
            </w:r>
          </w:p>
        </w:tc>
        <w:tc>
          <w:tcPr>
            <w:tcW w:w="4189" w:type="dxa"/>
            <w:shd w:val="clear" w:color="000000" w:fill="FFFFFF" w:themeFill="background1"/>
            <w:vAlign w:val="center"/>
          </w:tcPr>
          <w:p>
            <w:pPr>
              <w:widowControl/>
              <w:spacing w:line="240" w:lineRule="auto"/>
              <w:ind w:firstLine="0" w:firstLineChars="0"/>
              <w:rPr>
                <w:sz w:val="24"/>
              </w:rPr>
            </w:pPr>
            <w:r>
              <w:rPr>
                <w:rFonts w:hint="eastAsia"/>
                <w:sz w:val="24"/>
              </w:rPr>
              <w:t>1.该品种所针对的适应症属于严重危及生命的疾病。</w:t>
            </w:r>
          </w:p>
          <w:p>
            <w:pPr>
              <w:widowControl/>
              <w:spacing w:line="240" w:lineRule="auto"/>
              <w:ind w:firstLine="0" w:firstLineChars="0"/>
              <w:rPr>
                <w:kern w:val="0"/>
                <w:sz w:val="24"/>
              </w:rPr>
            </w:pPr>
            <w:r>
              <w:rPr>
                <w:rFonts w:hint="eastAsia"/>
                <w:sz w:val="24"/>
              </w:rPr>
              <w:t>2.该疾病目前尚无有效治疗手段，存在未满足的临床需求。本品已有的注册I期临床试验的数据，与良好证据的历史对照相比，该品种在主要临床结局（ORR）上能显著提高疗效疗效。</w:t>
            </w:r>
          </w:p>
        </w:tc>
        <w:tc>
          <w:tcPr>
            <w:tcW w:w="3082" w:type="dxa"/>
            <w:shd w:val="clear" w:color="auto" w:fill="auto"/>
            <w:vAlign w:val="center"/>
          </w:tcPr>
          <w:p>
            <w:pPr>
              <w:widowControl/>
              <w:spacing w:line="240" w:lineRule="auto"/>
              <w:ind w:firstLine="0" w:firstLineChars="0"/>
              <w:rPr>
                <w:color w:val="000000"/>
                <w:kern w:val="0"/>
                <w:sz w:val="24"/>
              </w:rPr>
            </w:pPr>
            <w:r>
              <w:rPr>
                <w:rFonts w:hint="eastAsia"/>
                <w:color w:val="000000"/>
                <w:sz w:val="24"/>
              </w:rPr>
              <w:t>用于复发或难治性急性淋巴细胞白血病</w:t>
            </w:r>
            <w:r>
              <w:rPr>
                <w:rFonts w:hint="eastAsia"/>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809" w:type="dxa"/>
            <w:vAlign w:val="center"/>
          </w:tcPr>
          <w:p>
            <w:pPr>
              <w:widowControl/>
              <w:spacing w:line="240" w:lineRule="auto"/>
              <w:ind w:firstLine="0" w:firstLineChars="0"/>
              <w:jc w:val="center"/>
              <w:rPr>
                <w:color w:val="000000"/>
                <w:kern w:val="0"/>
                <w:sz w:val="24"/>
              </w:rPr>
            </w:pPr>
            <w:r>
              <w:rPr>
                <w:rFonts w:hint="eastAsia"/>
                <w:color w:val="000000"/>
                <w:kern w:val="0"/>
                <w:sz w:val="24"/>
              </w:rPr>
              <w:t>22</w:t>
            </w:r>
          </w:p>
        </w:tc>
        <w:tc>
          <w:tcPr>
            <w:tcW w:w="1559" w:type="dxa"/>
            <w:shd w:val="clear" w:color="auto" w:fill="auto"/>
            <w:vAlign w:val="center"/>
          </w:tcPr>
          <w:p>
            <w:pPr>
              <w:widowControl/>
              <w:spacing w:line="240" w:lineRule="auto"/>
              <w:ind w:firstLine="0" w:firstLineChars="0"/>
              <w:jc w:val="center"/>
              <w:rPr>
                <w:color w:val="000000"/>
                <w:kern w:val="0"/>
                <w:sz w:val="24"/>
              </w:rPr>
            </w:pPr>
            <w:r>
              <w:rPr>
                <w:color w:val="000000"/>
                <w:kern w:val="0"/>
                <w:sz w:val="24"/>
              </w:rPr>
              <w:t>Copanlisib</w:t>
            </w:r>
            <w:r>
              <w:rPr>
                <w:rFonts w:hint="eastAsia"/>
                <w:color w:val="000000"/>
                <w:kern w:val="0"/>
                <w:sz w:val="24"/>
              </w:rPr>
              <w:t>注射用冻干</w:t>
            </w:r>
          </w:p>
          <w:p>
            <w:pPr>
              <w:widowControl/>
              <w:spacing w:line="240" w:lineRule="auto"/>
              <w:ind w:firstLine="0" w:firstLineChars="0"/>
              <w:jc w:val="center"/>
              <w:rPr>
                <w:color w:val="000000"/>
                <w:sz w:val="24"/>
              </w:rPr>
            </w:pPr>
            <w:r>
              <w:rPr>
                <w:rFonts w:hint="eastAsia"/>
                <w:color w:val="000000"/>
                <w:kern w:val="0"/>
                <w:sz w:val="24"/>
              </w:rPr>
              <w:t>制剂</w:t>
            </w:r>
            <w:r>
              <w:rPr>
                <w:rFonts w:eastAsia="仿宋"/>
                <w:color w:val="000000"/>
                <w:sz w:val="24"/>
              </w:rPr>
              <w:t>*</w:t>
            </w:r>
          </w:p>
        </w:tc>
        <w:tc>
          <w:tcPr>
            <w:tcW w:w="4189" w:type="dxa"/>
            <w:shd w:val="clear" w:color="000000" w:fill="FFFFFF" w:themeFill="background1"/>
            <w:vAlign w:val="center"/>
          </w:tcPr>
          <w:p>
            <w:pPr>
              <w:widowControl/>
              <w:spacing w:line="240" w:lineRule="auto"/>
              <w:ind w:firstLine="0" w:firstLineChars="0"/>
              <w:rPr>
                <w:color w:val="000000"/>
                <w:kern w:val="0"/>
                <w:sz w:val="24"/>
              </w:rPr>
            </w:pPr>
            <w:r>
              <w:rPr>
                <w:rFonts w:hint="eastAsia"/>
                <w:color w:val="000000"/>
                <w:kern w:val="0"/>
                <w:sz w:val="24"/>
              </w:rPr>
              <w:t>1</w:t>
            </w:r>
            <w:r>
              <w:rPr>
                <w:rFonts w:hint="eastAsia"/>
                <w:sz w:val="24"/>
              </w:rPr>
              <w:t>.</w:t>
            </w:r>
            <w:r>
              <w:rPr>
                <w:rFonts w:hint="eastAsia"/>
                <w:color w:val="000000"/>
                <w:kern w:val="0"/>
                <w:sz w:val="24"/>
              </w:rPr>
              <w:t>中国目前尚没有针对该适应症的产品获批上市。</w:t>
            </w:r>
            <w:r>
              <w:rPr>
                <w:rFonts w:hint="eastAsia"/>
                <w:color w:val="000000"/>
                <w:kern w:val="0"/>
                <w:sz w:val="24"/>
              </w:rPr>
              <w:br w:type="textWrapping"/>
            </w:r>
            <w:r>
              <w:rPr>
                <w:rFonts w:hint="eastAsia"/>
                <w:color w:val="000000"/>
                <w:kern w:val="0"/>
                <w:sz w:val="24"/>
              </w:rPr>
              <w:t>2</w:t>
            </w:r>
            <w:r>
              <w:rPr>
                <w:rFonts w:hint="eastAsia"/>
                <w:sz w:val="24"/>
              </w:rPr>
              <w:t>.</w:t>
            </w:r>
            <w:r>
              <w:rPr>
                <w:rFonts w:hint="eastAsia"/>
                <w:color w:val="000000"/>
                <w:kern w:val="0"/>
                <w:sz w:val="24"/>
              </w:rPr>
              <w:t>现有数据显示，本品可获得显著高于现有治疗手段历史数据的ORR。</w:t>
            </w:r>
            <w:r>
              <w:rPr>
                <w:rFonts w:hint="eastAsia"/>
                <w:color w:val="000000"/>
                <w:kern w:val="0"/>
                <w:sz w:val="24"/>
              </w:rPr>
              <w:br w:type="textWrapping"/>
            </w:r>
            <w:r>
              <w:rPr>
                <w:rFonts w:hint="eastAsia"/>
                <w:color w:val="000000"/>
                <w:kern w:val="0"/>
                <w:sz w:val="24"/>
              </w:rPr>
              <w:t>3</w:t>
            </w:r>
            <w:r>
              <w:rPr>
                <w:rFonts w:hint="eastAsia"/>
                <w:sz w:val="24"/>
              </w:rPr>
              <w:t>.</w:t>
            </w:r>
            <w:r>
              <w:rPr>
                <w:rFonts w:hint="eastAsia"/>
                <w:color w:val="000000"/>
                <w:kern w:val="0"/>
                <w:sz w:val="24"/>
              </w:rPr>
              <w:t>本品治疗相应适应症已经获得FDA授予突破性治疗药物资质。</w:t>
            </w:r>
          </w:p>
          <w:p>
            <w:pPr>
              <w:widowControl/>
              <w:spacing w:line="240" w:lineRule="auto"/>
              <w:ind w:firstLine="0" w:firstLineChars="0"/>
              <w:rPr>
                <w:color w:val="000000"/>
                <w:kern w:val="0"/>
                <w:sz w:val="24"/>
              </w:rPr>
            </w:pPr>
          </w:p>
          <w:p>
            <w:pPr>
              <w:widowControl/>
              <w:spacing w:line="240" w:lineRule="auto"/>
              <w:ind w:firstLine="0" w:firstLineChars="0"/>
              <w:rPr>
                <w:sz w:val="24"/>
              </w:rPr>
            </w:pPr>
          </w:p>
        </w:tc>
        <w:tc>
          <w:tcPr>
            <w:tcW w:w="3082" w:type="dxa"/>
            <w:shd w:val="clear" w:color="auto" w:fill="auto"/>
            <w:vAlign w:val="center"/>
          </w:tcPr>
          <w:p>
            <w:pPr>
              <w:widowControl/>
              <w:spacing w:line="240" w:lineRule="auto"/>
              <w:ind w:firstLine="0" w:firstLineChars="0"/>
              <w:rPr>
                <w:color w:val="000000"/>
                <w:sz w:val="24"/>
              </w:rPr>
            </w:pPr>
            <w:r>
              <w:rPr>
                <w:rFonts w:hint="eastAsia"/>
                <w:color w:val="000000"/>
                <w:kern w:val="0"/>
                <w:sz w:val="24"/>
              </w:rPr>
              <w:t>用于治疗既往接受过至少两线治疗的复发性边缘区淋巴瘤（MZL）成人患者。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809" w:type="dxa"/>
            <w:vAlign w:val="center"/>
          </w:tcPr>
          <w:p>
            <w:pPr>
              <w:widowControl/>
              <w:spacing w:line="240" w:lineRule="auto"/>
              <w:ind w:firstLine="0" w:firstLineChars="0"/>
              <w:jc w:val="center"/>
              <w:rPr>
                <w:color w:val="000000"/>
                <w:kern w:val="0"/>
                <w:sz w:val="24"/>
              </w:rPr>
            </w:pPr>
            <w:r>
              <w:rPr>
                <w:rFonts w:hint="eastAsia"/>
                <w:color w:val="000000"/>
                <w:kern w:val="0"/>
                <w:sz w:val="24"/>
              </w:rPr>
              <w:t>23</w:t>
            </w:r>
          </w:p>
        </w:tc>
        <w:tc>
          <w:tcPr>
            <w:tcW w:w="1559" w:type="dxa"/>
            <w:shd w:val="clear" w:color="auto" w:fill="auto"/>
            <w:vAlign w:val="center"/>
          </w:tcPr>
          <w:p>
            <w:pPr>
              <w:widowControl/>
              <w:spacing w:line="240" w:lineRule="auto"/>
              <w:ind w:firstLine="0" w:firstLineChars="0"/>
              <w:jc w:val="center"/>
              <w:rPr>
                <w:color w:val="000000"/>
                <w:kern w:val="0"/>
                <w:sz w:val="24"/>
              </w:rPr>
            </w:pPr>
            <w:r>
              <w:rPr>
                <w:color w:val="000000"/>
                <w:kern w:val="0"/>
                <w:sz w:val="24"/>
              </w:rPr>
              <w:t>Uproleselan</w:t>
            </w:r>
            <w:r>
              <w:rPr>
                <w:rFonts w:hint="eastAsia"/>
                <w:color w:val="000000"/>
                <w:kern w:val="0"/>
                <w:sz w:val="24"/>
              </w:rPr>
              <w:t>注射液</w:t>
            </w:r>
            <w:r>
              <w:rPr>
                <w:rFonts w:eastAsia="仿宋"/>
                <w:color w:val="000000"/>
                <w:sz w:val="24"/>
              </w:rPr>
              <w:t>*</w:t>
            </w:r>
          </w:p>
        </w:tc>
        <w:tc>
          <w:tcPr>
            <w:tcW w:w="4189" w:type="dxa"/>
            <w:shd w:val="clear" w:color="000000" w:fill="FFFFFF" w:themeFill="background1"/>
            <w:vAlign w:val="center"/>
          </w:tcPr>
          <w:p>
            <w:pPr>
              <w:widowControl/>
              <w:spacing w:line="240" w:lineRule="auto"/>
              <w:ind w:firstLine="0" w:firstLineChars="0"/>
              <w:rPr>
                <w:color w:val="000000"/>
                <w:kern w:val="0"/>
                <w:sz w:val="24"/>
              </w:rPr>
            </w:pPr>
            <w:r>
              <w:rPr>
                <w:rFonts w:hint="eastAsia"/>
                <w:color w:val="000000"/>
                <w:kern w:val="0"/>
                <w:sz w:val="24"/>
              </w:rPr>
              <w:t>1</w:t>
            </w:r>
            <w:r>
              <w:rPr>
                <w:rFonts w:hint="eastAsia"/>
                <w:sz w:val="24"/>
              </w:rPr>
              <w:t>.</w:t>
            </w:r>
            <w:r>
              <w:rPr>
                <w:rFonts w:hint="eastAsia"/>
                <w:color w:val="000000"/>
                <w:kern w:val="0"/>
                <w:sz w:val="24"/>
              </w:rPr>
              <w:t>本品为治疗拟申报适应症的全新机制产品。</w:t>
            </w:r>
            <w:r>
              <w:rPr>
                <w:rFonts w:hint="eastAsia"/>
                <w:color w:val="000000"/>
                <w:kern w:val="0"/>
                <w:sz w:val="24"/>
              </w:rPr>
              <w:br w:type="textWrapping"/>
            </w:r>
            <w:r>
              <w:rPr>
                <w:rFonts w:hint="eastAsia"/>
                <w:color w:val="000000"/>
                <w:kern w:val="0"/>
                <w:sz w:val="24"/>
              </w:rPr>
              <w:t>2</w:t>
            </w:r>
            <w:r>
              <w:rPr>
                <w:rFonts w:hint="eastAsia"/>
                <w:sz w:val="24"/>
              </w:rPr>
              <w:t>.</w:t>
            </w:r>
            <w:r>
              <w:rPr>
                <w:rFonts w:hint="eastAsia" w:ascii="仿宋_GB2312"/>
                <w:color w:val="000000"/>
                <w:kern w:val="0"/>
                <w:sz w:val="24"/>
              </w:rPr>
              <w:t>Ⅱ</w:t>
            </w:r>
            <w:r>
              <w:rPr>
                <w:rFonts w:hint="eastAsia"/>
                <w:color w:val="000000"/>
                <w:kern w:val="0"/>
                <w:sz w:val="24"/>
              </w:rPr>
              <w:t>期研究中，66例复发难治患者接受了本品联合MEC方案治疗，不区分既往是否已经接受移植，CR+CRi率、CR率、MRD阴性率和中位OS均相对于MEC方案历史数据有显著的改善。</w:t>
            </w:r>
            <w:r>
              <w:rPr>
                <w:rFonts w:hint="eastAsia"/>
                <w:color w:val="000000"/>
                <w:kern w:val="0"/>
                <w:sz w:val="24"/>
              </w:rPr>
              <w:br w:type="textWrapping"/>
            </w:r>
            <w:r>
              <w:rPr>
                <w:rFonts w:hint="eastAsia"/>
                <w:color w:val="000000"/>
                <w:kern w:val="0"/>
                <w:sz w:val="24"/>
              </w:rPr>
              <w:t>3</w:t>
            </w:r>
            <w:r>
              <w:rPr>
                <w:rFonts w:hint="eastAsia"/>
                <w:sz w:val="24"/>
              </w:rPr>
              <w:t>.</w:t>
            </w:r>
            <w:r>
              <w:rPr>
                <w:rFonts w:hint="eastAsia"/>
                <w:color w:val="000000"/>
                <w:kern w:val="0"/>
                <w:sz w:val="24"/>
              </w:rPr>
              <w:t>联合本品治疗后，口腔黏膜炎或重度口腔黏膜炎的发生率得到改善。</w:t>
            </w:r>
            <w:r>
              <w:rPr>
                <w:rFonts w:hint="eastAsia"/>
                <w:color w:val="000000"/>
                <w:kern w:val="0"/>
                <w:sz w:val="24"/>
              </w:rPr>
              <w:br w:type="textWrapping"/>
            </w:r>
            <w:r>
              <w:rPr>
                <w:rFonts w:hint="eastAsia"/>
                <w:color w:val="000000"/>
                <w:kern w:val="0"/>
                <w:sz w:val="24"/>
              </w:rPr>
              <w:t>4</w:t>
            </w:r>
            <w:r>
              <w:rPr>
                <w:rFonts w:hint="eastAsia"/>
                <w:sz w:val="24"/>
              </w:rPr>
              <w:t>.</w:t>
            </w:r>
            <w:r>
              <w:rPr>
                <w:rFonts w:hint="eastAsia"/>
                <w:color w:val="000000"/>
                <w:kern w:val="0"/>
                <w:sz w:val="24"/>
              </w:rPr>
              <w:t>本品相同适应症获FDA授予BTD。</w:t>
            </w:r>
          </w:p>
        </w:tc>
        <w:tc>
          <w:tcPr>
            <w:tcW w:w="3082" w:type="dxa"/>
            <w:shd w:val="clear" w:color="auto" w:fill="auto"/>
            <w:vAlign w:val="center"/>
          </w:tcPr>
          <w:p>
            <w:pPr>
              <w:widowControl/>
              <w:spacing w:line="240" w:lineRule="auto"/>
              <w:ind w:firstLine="0" w:firstLineChars="0"/>
              <w:rPr>
                <w:color w:val="000000"/>
                <w:kern w:val="0"/>
                <w:sz w:val="24"/>
              </w:rPr>
            </w:pPr>
            <w:r>
              <w:rPr>
                <w:rFonts w:hint="eastAsia"/>
                <w:color w:val="000000"/>
                <w:kern w:val="0"/>
                <w:sz w:val="24"/>
              </w:rPr>
              <w:t>用于成人复发或难治性急性髓系白血病(AML)。</w:t>
            </w:r>
          </w:p>
        </w:tc>
      </w:tr>
    </w:tbl>
    <w:p>
      <w:pPr>
        <w:spacing w:line="240" w:lineRule="auto"/>
        <w:ind w:firstLine="0" w:firstLineChars="0"/>
      </w:pPr>
      <w:r>
        <w:rPr>
          <w:color w:val="000000"/>
          <w:sz w:val="24"/>
        </w:rPr>
        <w:t>注：“*”为公示日期截止为2020年12月31日的品种，根据程序在2021年纳入突破性治疗程序，因此不纳入到2020年的统计范围。</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9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8066275"/>
      <w:docPartObj>
        <w:docPartGallery w:val="AutoText"/>
      </w:docPartObj>
    </w:sdtPr>
    <w:sdtEndPr>
      <w:rPr>
        <w:sz w:val="28"/>
        <w:szCs w:val="28"/>
      </w:rPr>
    </w:sdtEndPr>
    <w:sdtContent>
      <w:p>
        <w:pPr>
          <w:pStyle w:val="3"/>
          <w:ind w:firstLine="0" w:firstLineChars="0"/>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91</w:t>
        </w:r>
        <w:r>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40D"/>
    <w:rsid w:val="003E50BD"/>
    <w:rsid w:val="00517DAA"/>
    <w:rsid w:val="00532A51"/>
    <w:rsid w:val="0072281C"/>
    <w:rsid w:val="0074233E"/>
    <w:rsid w:val="00757325"/>
    <w:rsid w:val="00D64199"/>
    <w:rsid w:val="00E7340D"/>
    <w:rsid w:val="00F26619"/>
    <w:rsid w:val="00FF3166"/>
    <w:rsid w:val="6CDD3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9"/>
    <w:qFormat/>
    <w:uiPriority w:val="9"/>
    <w:pPr>
      <w:outlineLvl w:val="0"/>
    </w:pPr>
    <w:rPr>
      <w:rFonts w:eastAsia="黑体"/>
      <w:bCs/>
      <w:kern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1 字符"/>
    <w:basedOn w:val="6"/>
    <w:link w:val="2"/>
    <w:qFormat/>
    <w:uiPriority w:val="9"/>
    <w:rPr>
      <w:rFonts w:ascii="Times New Roman" w:hAnsi="Times New Roman" w:eastAsia="黑体" w:cs="Times New Roman"/>
      <w:bCs/>
      <w:kern w:val="44"/>
      <w:sz w:val="32"/>
      <w:szCs w:val="44"/>
    </w:rPr>
  </w:style>
  <w:style w:type="paragraph" w:styleId="10">
    <w:name w:val="List Paragraph"/>
    <w:basedOn w:val="1"/>
    <w:qFormat/>
    <w:uiPriority w:val="34"/>
    <w:pPr>
      <w:ind w:firstLine="42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525</Words>
  <Characters>2997</Characters>
  <Lines>24</Lines>
  <Paragraphs>7</Paragraphs>
  <TotalTime>18</TotalTime>
  <ScaleCrop>false</ScaleCrop>
  <LinksUpToDate>false</LinksUpToDate>
  <CharactersWithSpaces>3515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2021-03-31T19:11:00Z</dcterms:created>
  <dc:creator>药审中心</dc:creator>
  <cp:lastModifiedBy>zhanglc</cp:lastModifiedBy>
  <cp:lastPrinted>2021-04-08T15:46:00Z</cp:lastPrinted>
  <dcterms:modified xsi:type="dcterms:W3CDTF">2021-06-11T09:24:11Z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